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54B" w:rsidRDefault="00714C78" w:rsidP="00221517">
      <w:pPr>
        <w:pStyle w:val="Titre"/>
      </w:pPr>
      <w:r>
        <w:t>TD</w:t>
      </w:r>
      <w:r w:rsidR="00221517">
        <w:t xml:space="preserve"> </w:t>
      </w:r>
      <w:r>
        <w:t xml:space="preserve"> </w:t>
      </w:r>
      <w:r w:rsidR="00221517">
        <w:t>BTS SN</w:t>
      </w:r>
      <w:r>
        <w:t>1</w:t>
      </w:r>
    </w:p>
    <w:p w:rsidR="00221517" w:rsidRDefault="00B213B6" w:rsidP="00221517">
      <w:pPr>
        <w:pStyle w:val="Sous-titre"/>
      </w:pPr>
      <w:r>
        <w:t>Liaison série asynchrone</w:t>
      </w:r>
    </w:p>
    <w:p w:rsidR="00221517" w:rsidRDefault="00714C78" w:rsidP="00221517">
      <w:r>
        <w:t>10</w:t>
      </w:r>
      <w:r w:rsidR="00221517">
        <w:t>/0</w:t>
      </w:r>
      <w:r w:rsidR="00735F10">
        <w:t>1/2015</w:t>
      </w:r>
    </w:p>
    <w:p w:rsidR="00DE5126" w:rsidRDefault="00DE5126" w:rsidP="00221517"/>
    <w:p w:rsidR="00DE5126" w:rsidRDefault="00DE5126" w:rsidP="00221517"/>
    <w:p w:rsidR="00DE5126" w:rsidRDefault="00DE5126" w:rsidP="00221517"/>
    <w:p w:rsidR="00DE5126" w:rsidRDefault="00DE5126" w:rsidP="00221517"/>
    <w:p w:rsidR="00DE5126" w:rsidRDefault="00DE5126" w:rsidP="00221517"/>
    <w:tbl>
      <w:tblPr>
        <w:tblStyle w:val="Grilledutableau"/>
        <w:tblW w:w="0" w:type="auto"/>
        <w:tblLook w:val="04A0"/>
      </w:tblPr>
      <w:tblGrid>
        <w:gridCol w:w="10988"/>
      </w:tblGrid>
      <w:tr w:rsidR="008610BB" w:rsidTr="008610BB">
        <w:tc>
          <w:tcPr>
            <w:tcW w:w="10912" w:type="dxa"/>
          </w:tcPr>
          <w:p w:rsidR="003709D9" w:rsidRDefault="003709D9" w:rsidP="008610BB">
            <w:pPr>
              <w:jc w:val="center"/>
              <w:rPr>
                <w:sz w:val="32"/>
                <w:szCs w:val="32"/>
              </w:rPr>
            </w:pPr>
          </w:p>
          <w:p w:rsidR="003709D9" w:rsidRDefault="003709D9" w:rsidP="008610BB">
            <w:pPr>
              <w:jc w:val="center"/>
              <w:rPr>
                <w:sz w:val="32"/>
                <w:szCs w:val="32"/>
              </w:rPr>
            </w:pPr>
          </w:p>
          <w:p w:rsidR="003709D9" w:rsidRDefault="008610BB" w:rsidP="008610BB">
            <w:pPr>
              <w:jc w:val="center"/>
            </w:pPr>
            <w:r w:rsidRPr="008610BB">
              <w:rPr>
                <w:sz w:val="32"/>
                <w:szCs w:val="32"/>
              </w:rPr>
              <w:t>Surveillance du viaduc de Millau</w:t>
            </w:r>
            <w:r>
              <w:t xml:space="preserve"> </w:t>
            </w:r>
          </w:p>
          <w:p w:rsidR="003709D9" w:rsidRDefault="003709D9" w:rsidP="008610BB">
            <w:pPr>
              <w:jc w:val="center"/>
            </w:pPr>
          </w:p>
          <w:p w:rsidR="003709D9" w:rsidRDefault="003709D9" w:rsidP="008610BB">
            <w:pPr>
              <w:jc w:val="center"/>
            </w:pPr>
          </w:p>
          <w:p w:rsidR="008610BB" w:rsidRDefault="008610BB" w:rsidP="008610BB">
            <w:pPr>
              <w:jc w:val="center"/>
            </w:pPr>
            <w:r>
              <w:br/>
            </w:r>
            <w:r>
              <w:rPr>
                <w:noProof/>
                <w:lang w:eastAsia="fr-FR"/>
              </w:rPr>
              <w:drawing>
                <wp:inline distT="0" distB="0" distL="0" distR="0">
                  <wp:extent cx="6840220" cy="2622713"/>
                  <wp:effectExtent l="1905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6840220" cy="2622713"/>
                          </a:xfrm>
                          <a:prstGeom prst="rect">
                            <a:avLst/>
                          </a:prstGeom>
                          <a:noFill/>
                          <a:ln w="9525">
                            <a:noFill/>
                            <a:miter lim="800000"/>
                            <a:headEnd/>
                            <a:tailEnd/>
                          </a:ln>
                        </pic:spPr>
                      </pic:pic>
                    </a:graphicData>
                  </a:graphic>
                </wp:inline>
              </w:drawing>
            </w:r>
            <w:r>
              <w:br w:type="page"/>
            </w:r>
          </w:p>
          <w:p w:rsidR="008610BB" w:rsidRDefault="008610BB" w:rsidP="00221517"/>
        </w:tc>
      </w:tr>
    </w:tbl>
    <w:p w:rsidR="00DE5126" w:rsidRDefault="00DE5126" w:rsidP="00DE5126"/>
    <w:p w:rsidR="00DE5126" w:rsidRDefault="00DE5126" w:rsidP="00DE5126">
      <w:pPr>
        <w:rPr>
          <w:rFonts w:asciiTheme="majorHAnsi" w:eastAsiaTheme="majorEastAsia" w:hAnsiTheme="majorHAnsi" w:cstheme="majorBidi"/>
          <w:color w:val="365F91" w:themeColor="accent1" w:themeShade="BF"/>
          <w:sz w:val="28"/>
          <w:szCs w:val="28"/>
        </w:rPr>
      </w:pPr>
      <w:r>
        <w:br w:type="page"/>
      </w:r>
    </w:p>
    <w:p w:rsidR="00221517" w:rsidRDefault="00221517" w:rsidP="00221517">
      <w:pPr>
        <w:pStyle w:val="Titre1"/>
      </w:pPr>
      <w:r>
        <w:lastRenderedPageBreak/>
        <w:t>Contexte</w:t>
      </w:r>
    </w:p>
    <w:p w:rsidR="008610BB" w:rsidRDefault="008610BB" w:rsidP="001E115C">
      <w:pPr>
        <w:spacing w:after="120"/>
        <w:ind w:left="426"/>
      </w:pPr>
      <w:r>
        <w:t>Le viaduc de Millau est un pont à haubans franchissant la vallée du Tarn (Aveyron) sur l’autoroute A71 entre Clermont-Ferrand et Béziers.</w:t>
      </w:r>
    </w:p>
    <w:p w:rsidR="008610BB" w:rsidRDefault="008610BB" w:rsidP="001E115C">
      <w:pPr>
        <w:spacing w:after="120"/>
        <w:ind w:left="426"/>
      </w:pPr>
      <w:r>
        <w:t>Il permet de contourner la ville de Millau et d’éviter ainsi les embouteillages estivaux. Son tablier de 32 m de large accueille une autoroute de 2 fois 2 voies ainsi que 2 voies de secours.</w:t>
      </w:r>
    </w:p>
    <w:p w:rsidR="008610BB" w:rsidRDefault="008610BB" w:rsidP="001E115C">
      <w:pPr>
        <w:spacing w:after="120"/>
        <w:ind w:left="426"/>
      </w:pPr>
      <w:r>
        <w:t>Ce pont, achevé en 2004, détient quatre records du monde :</w:t>
      </w:r>
    </w:p>
    <w:p w:rsidR="008610BB" w:rsidRDefault="008610BB" w:rsidP="008610BB">
      <w:pPr>
        <w:pStyle w:val="Paragraphedeliste"/>
        <w:numPr>
          <w:ilvl w:val="0"/>
          <w:numId w:val="18"/>
        </w:numPr>
        <w:spacing w:after="120"/>
      </w:pPr>
      <w:r>
        <w:t>Les piles les plus hautes : les piles P2 et P3 mesurent respectivement 244,96 et 221,05 m.</w:t>
      </w:r>
    </w:p>
    <w:p w:rsidR="008610BB" w:rsidRDefault="008610BB" w:rsidP="008610BB">
      <w:pPr>
        <w:pStyle w:val="Paragraphedeliste"/>
        <w:numPr>
          <w:ilvl w:val="0"/>
          <w:numId w:val="18"/>
        </w:numPr>
        <w:spacing w:after="120"/>
      </w:pPr>
      <w:r>
        <w:t>La flèche la plus haute : le haut du pylône de la pile P2 culmine à 343 m.</w:t>
      </w:r>
    </w:p>
    <w:p w:rsidR="008610BB" w:rsidRDefault="008610BB" w:rsidP="008610BB">
      <w:pPr>
        <w:pStyle w:val="Paragraphedeliste"/>
        <w:numPr>
          <w:ilvl w:val="0"/>
          <w:numId w:val="18"/>
        </w:numPr>
        <w:spacing w:after="120"/>
      </w:pPr>
      <w:r>
        <w:t>Le tablier routier le plus haut : 270 mètres par rapport au sol.</w:t>
      </w:r>
    </w:p>
    <w:p w:rsidR="00B213B6" w:rsidRDefault="008610BB" w:rsidP="008610BB">
      <w:pPr>
        <w:pStyle w:val="Paragraphedeliste"/>
        <w:numPr>
          <w:ilvl w:val="0"/>
          <w:numId w:val="18"/>
        </w:numPr>
        <w:spacing w:after="120"/>
      </w:pPr>
      <w:r>
        <w:t>Le tablier suspendu par h</w:t>
      </w:r>
      <w:r w:rsidR="001E115C">
        <w:t xml:space="preserve">aubans le plus long (2 460 m). </w:t>
      </w:r>
    </w:p>
    <w:p w:rsidR="001E115C" w:rsidRDefault="001E115C" w:rsidP="001E115C">
      <w:pPr>
        <w:spacing w:after="120"/>
      </w:pPr>
      <w:r>
        <w:rPr>
          <w:noProof/>
          <w:lang w:eastAsia="fr-FR"/>
        </w:rPr>
        <w:drawing>
          <wp:inline distT="0" distB="0" distL="0" distR="0">
            <wp:extent cx="6840220" cy="1662986"/>
            <wp:effectExtent l="19050" t="0" r="0"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6840220" cy="1662986"/>
                    </a:xfrm>
                    <a:prstGeom prst="rect">
                      <a:avLst/>
                    </a:prstGeom>
                    <a:noFill/>
                    <a:ln w="9525">
                      <a:noFill/>
                      <a:miter lim="800000"/>
                      <a:headEnd/>
                      <a:tailEnd/>
                    </a:ln>
                  </pic:spPr>
                </pic:pic>
              </a:graphicData>
            </a:graphic>
          </wp:inline>
        </w:drawing>
      </w:r>
    </w:p>
    <w:p w:rsidR="001E115C" w:rsidRPr="00DE5126" w:rsidRDefault="001E115C" w:rsidP="001E115C">
      <w:pPr>
        <w:spacing w:after="120"/>
        <w:ind w:left="426"/>
      </w:pPr>
      <w:r w:rsidRPr="00DE5126">
        <w:t>Les culées C0 et C8 sont les points d'ancrage à chaque extrémité du viaduc. Les véhicules circulent sur le tablier reposant sur les deux culées et les piles. Les haubans, dont les extrémités sont constituées par les pylônes et le tablier, ils stabilisent l’ensemble.</w:t>
      </w:r>
    </w:p>
    <w:p w:rsidR="001E115C" w:rsidRDefault="001E115C" w:rsidP="00DE5126">
      <w:pPr>
        <w:spacing w:after="120"/>
        <w:jc w:val="center"/>
        <w:rPr>
          <w:b/>
        </w:rPr>
      </w:pPr>
      <w:r>
        <w:rPr>
          <w:b/>
          <w:noProof/>
          <w:lang w:eastAsia="fr-FR"/>
        </w:rPr>
        <w:drawing>
          <wp:inline distT="0" distB="0" distL="0" distR="0">
            <wp:extent cx="6397541" cy="2118546"/>
            <wp:effectExtent l="19050" t="0" r="3259"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6397855" cy="2118650"/>
                    </a:xfrm>
                    <a:prstGeom prst="rect">
                      <a:avLst/>
                    </a:prstGeom>
                    <a:noFill/>
                    <a:ln w="9525">
                      <a:noFill/>
                      <a:miter lim="800000"/>
                      <a:headEnd/>
                      <a:tailEnd/>
                    </a:ln>
                  </pic:spPr>
                </pic:pic>
              </a:graphicData>
            </a:graphic>
          </wp:inline>
        </w:drawing>
      </w:r>
    </w:p>
    <w:p w:rsidR="001E115C" w:rsidRPr="001E115C" w:rsidRDefault="001E115C" w:rsidP="001E115C">
      <w:pPr>
        <w:pStyle w:val="Titre2"/>
      </w:pPr>
      <w:r w:rsidRPr="001E115C">
        <w:t>La surveillance de l’ouvrage</w:t>
      </w:r>
    </w:p>
    <w:p w:rsidR="001E115C" w:rsidRPr="00DE5126" w:rsidRDefault="001E115C" w:rsidP="001E115C">
      <w:pPr>
        <w:spacing w:after="120"/>
        <w:ind w:left="993"/>
      </w:pPr>
      <w:r w:rsidRPr="00DE5126">
        <w:t>Le cahier des charges prévoit une durée d’utilisation du pont de 120 ans. La surveillance de l’ouvrage sur le long terme doit donc pouvoir respecter cette contrainte.</w:t>
      </w:r>
    </w:p>
    <w:p w:rsidR="001E115C" w:rsidRPr="00DE5126" w:rsidRDefault="001E115C" w:rsidP="001E115C">
      <w:pPr>
        <w:spacing w:after="120"/>
        <w:ind w:left="993"/>
      </w:pPr>
      <w:r w:rsidRPr="00DE5126">
        <w:t>Cette surveillance comporte trois aspects : contrôle des conditions d’exploitation, contrôle du comportement du viaduc et contrôle du vieillissement de la structure.</w:t>
      </w:r>
    </w:p>
    <w:p w:rsidR="001E115C" w:rsidRPr="00DE5126" w:rsidRDefault="001E115C" w:rsidP="001E115C">
      <w:pPr>
        <w:pStyle w:val="Paragraphedeliste"/>
        <w:numPr>
          <w:ilvl w:val="0"/>
          <w:numId w:val="19"/>
        </w:numPr>
        <w:spacing w:after="120"/>
        <w:ind w:left="1418"/>
      </w:pPr>
      <w:r w:rsidRPr="00DE5126">
        <w:t>contrôler les conditions d’exploitation : le but est d’assurer la sécurité des véhicules et de leurs passagers. Trois fonctionnalités sont assurées :</w:t>
      </w:r>
    </w:p>
    <w:p w:rsidR="001E115C" w:rsidRPr="00DE5126" w:rsidRDefault="001E115C" w:rsidP="001E115C">
      <w:pPr>
        <w:pStyle w:val="Paragraphedeliste"/>
        <w:numPr>
          <w:ilvl w:val="1"/>
          <w:numId w:val="19"/>
        </w:numPr>
        <w:spacing w:after="120"/>
        <w:ind w:left="1843"/>
      </w:pPr>
      <w:r w:rsidRPr="00DE5126">
        <w:t>surveiller le trafic</w:t>
      </w:r>
    </w:p>
    <w:p w:rsidR="001E115C" w:rsidRPr="00DE5126" w:rsidRDefault="001E115C" w:rsidP="001E115C">
      <w:pPr>
        <w:pStyle w:val="Paragraphedeliste"/>
        <w:numPr>
          <w:ilvl w:val="1"/>
          <w:numId w:val="19"/>
        </w:numPr>
        <w:spacing w:after="120"/>
        <w:ind w:left="1843"/>
      </w:pPr>
      <w:r w:rsidRPr="00DE5126">
        <w:t>mesurer la vitesse du vent</w:t>
      </w:r>
    </w:p>
    <w:p w:rsidR="001E115C" w:rsidRPr="00DE5126" w:rsidRDefault="001E115C" w:rsidP="001E115C">
      <w:pPr>
        <w:pStyle w:val="Paragraphedeliste"/>
        <w:numPr>
          <w:ilvl w:val="1"/>
          <w:numId w:val="19"/>
        </w:numPr>
        <w:spacing w:after="120"/>
        <w:ind w:left="1843"/>
      </w:pPr>
      <w:r w:rsidRPr="00DE5126">
        <w:t>détecter le verglas.</w:t>
      </w:r>
    </w:p>
    <w:p w:rsidR="001E115C" w:rsidRPr="00DE5126" w:rsidRDefault="001E115C" w:rsidP="001E115C">
      <w:pPr>
        <w:pStyle w:val="Paragraphedeliste"/>
        <w:numPr>
          <w:ilvl w:val="0"/>
          <w:numId w:val="19"/>
        </w:numPr>
        <w:spacing w:after="120"/>
        <w:ind w:left="1418"/>
      </w:pPr>
      <w:r w:rsidRPr="00DE5126">
        <w:t>contrôler le comportement du pont et vérifier la conformité par rapport aux prévisions définies dans le cahier des charges.</w:t>
      </w:r>
    </w:p>
    <w:p w:rsidR="001E115C" w:rsidRPr="00DE5126" w:rsidRDefault="001E115C" w:rsidP="001E115C">
      <w:pPr>
        <w:pStyle w:val="Paragraphedeliste"/>
        <w:numPr>
          <w:ilvl w:val="0"/>
          <w:numId w:val="19"/>
        </w:numPr>
        <w:spacing w:after="120"/>
        <w:ind w:left="1418"/>
      </w:pPr>
      <w:r w:rsidRPr="00DE5126">
        <w:t>surveiller le vieillissement : l’ouvrage est équipé de dispositifs permettant de suivre sur le long terme les fondations du pont, les haubans, les piles, les pylônes et le tablier.</w:t>
      </w:r>
    </w:p>
    <w:p w:rsidR="001E115C" w:rsidRPr="001E115C" w:rsidRDefault="001E115C" w:rsidP="001E115C">
      <w:pPr>
        <w:pStyle w:val="Titre2"/>
      </w:pPr>
      <w:r w:rsidRPr="001E115C">
        <w:lastRenderedPageBreak/>
        <w:t>Instrumentation de surveillance</w:t>
      </w:r>
    </w:p>
    <w:p w:rsidR="001E115C" w:rsidRPr="008E52AC" w:rsidRDefault="001E115C" w:rsidP="00DE5126">
      <w:pPr>
        <w:spacing w:after="120"/>
        <w:ind w:left="993"/>
      </w:pPr>
      <w:r w:rsidRPr="008E52AC">
        <w:t>La surveillance a été mise en place à l’aide de capteurs, ce qui permet le contrôle et l’analyse de phénomènes dont la durée va d’une seconde à plusieurs années. Chaque capteur a été minutieusement choisi pour répondre parfaitement au cahier des charges :</w:t>
      </w:r>
    </w:p>
    <w:p w:rsidR="001E115C" w:rsidRPr="008E52AC" w:rsidRDefault="001E115C" w:rsidP="00DE5126">
      <w:pPr>
        <w:pStyle w:val="Paragraphedeliste"/>
        <w:numPr>
          <w:ilvl w:val="0"/>
          <w:numId w:val="21"/>
        </w:numPr>
        <w:spacing w:after="120"/>
        <w:ind w:left="1418"/>
      </w:pPr>
      <w:r w:rsidRPr="008E52AC">
        <w:t>Des anémomètres sont utilisés pour la surveillance du vent à tout moment, ils se trouvent sur les pylônes (PY2, PY4, PY6) et sur le tablier.</w:t>
      </w:r>
    </w:p>
    <w:p w:rsidR="001E115C" w:rsidRPr="008E52AC" w:rsidRDefault="001E115C" w:rsidP="00DE5126">
      <w:pPr>
        <w:pStyle w:val="Paragraphedeliste"/>
        <w:numPr>
          <w:ilvl w:val="0"/>
          <w:numId w:val="21"/>
        </w:numPr>
        <w:spacing w:after="120"/>
        <w:ind w:left="1418"/>
      </w:pPr>
      <w:r w:rsidRPr="008E52AC">
        <w:t>Pour la surveillance des mouvements d’oscillation, une instrumentation d’accéléromètres est installée sur les piles, pylônes et tablier.</w:t>
      </w:r>
    </w:p>
    <w:p w:rsidR="001E115C" w:rsidRPr="008E52AC" w:rsidRDefault="001E115C" w:rsidP="00DE5126">
      <w:pPr>
        <w:pStyle w:val="Paragraphedeliste"/>
        <w:numPr>
          <w:ilvl w:val="0"/>
          <w:numId w:val="21"/>
        </w:numPr>
        <w:spacing w:after="120"/>
        <w:ind w:left="1418"/>
      </w:pPr>
      <w:r w:rsidRPr="008E52AC">
        <w:t>Les déplacements des joints de chaussée du tablier, sont mesurés par des capteurs de déplacement.</w:t>
      </w:r>
    </w:p>
    <w:p w:rsidR="001E115C" w:rsidRPr="008E52AC" w:rsidRDefault="001E115C" w:rsidP="00DE5126">
      <w:pPr>
        <w:pStyle w:val="Paragraphedeliste"/>
        <w:numPr>
          <w:ilvl w:val="0"/>
          <w:numId w:val="21"/>
        </w:numPr>
        <w:spacing w:after="120"/>
        <w:ind w:left="1418"/>
      </w:pPr>
      <w:r w:rsidRPr="008E52AC">
        <w:t>Pour la surveillance des contraintes subies par les piles et l’évolution de la structure du béton, des extensomètres à fibres optiques, ont été scellés dans le béton des piles P2 et P7.</w:t>
      </w:r>
    </w:p>
    <w:p w:rsidR="001E115C" w:rsidRPr="008E52AC" w:rsidRDefault="001E115C" w:rsidP="00DE5126">
      <w:pPr>
        <w:pStyle w:val="Paragraphedeliste"/>
        <w:numPr>
          <w:ilvl w:val="0"/>
          <w:numId w:val="21"/>
        </w:numPr>
        <w:spacing w:after="120"/>
        <w:ind w:left="1418"/>
      </w:pPr>
      <w:r w:rsidRPr="008E52AC">
        <w:t>Pour suivre tous les paramètres naturels, il y a des hygromètres mesurant l'Humidité Relative (ou %HR) et des capteurs de température dont les données seront corrélées avec celles fournies par les autres capteurs.</w:t>
      </w:r>
    </w:p>
    <w:p w:rsidR="001E115C" w:rsidRDefault="001E115C" w:rsidP="001E115C">
      <w:pPr>
        <w:pStyle w:val="Titre2"/>
      </w:pPr>
      <w:r w:rsidRPr="001E115C">
        <w:t>INFORMATIQUE INDUSTRIELLE</w:t>
      </w:r>
    </w:p>
    <w:p w:rsidR="001E115C" w:rsidRPr="008E52AC" w:rsidRDefault="001E115C" w:rsidP="00934859">
      <w:pPr>
        <w:ind w:left="993"/>
      </w:pPr>
      <w:r w:rsidRPr="008E52AC">
        <w:t>Le réseau informatique constitue la colonne vertébrale du système ; toutes les données provenant des capteurs sont récupérées grâce à une association fibre optique, commutateurs (</w:t>
      </w:r>
      <w:proofErr w:type="spellStart"/>
      <w:r w:rsidRPr="008E52AC">
        <w:t>switch</w:t>
      </w:r>
      <w:proofErr w:type="spellEnd"/>
      <w:r w:rsidRPr="008E52AC">
        <w:t>) et passerelles (RS485/Ethernet) :</w:t>
      </w:r>
    </w:p>
    <w:p w:rsidR="001E115C" w:rsidRPr="008E52AC" w:rsidRDefault="001E115C" w:rsidP="00934859">
      <w:pPr>
        <w:pStyle w:val="Paragraphedeliste"/>
        <w:numPr>
          <w:ilvl w:val="0"/>
          <w:numId w:val="21"/>
        </w:numPr>
        <w:ind w:left="1560"/>
      </w:pPr>
      <w:r w:rsidRPr="008E52AC">
        <w:t xml:space="preserve">Les </w:t>
      </w:r>
      <w:proofErr w:type="spellStart"/>
      <w:r w:rsidRPr="008E52AC">
        <w:t>e.bloxx</w:t>
      </w:r>
      <w:proofErr w:type="spellEnd"/>
      <w:r w:rsidRPr="008E52AC">
        <w:t xml:space="preserve"> sont des conditionneurs d'entrées/sorties logiques et analogiques et délivrent les résultats de leurs acquisitions (provenant des capteurs) aux </w:t>
      </w:r>
      <w:proofErr w:type="spellStart"/>
      <w:r w:rsidRPr="008E52AC">
        <w:t>e.gate</w:t>
      </w:r>
      <w:proofErr w:type="spellEnd"/>
    </w:p>
    <w:p w:rsidR="001E115C" w:rsidRPr="008E52AC" w:rsidRDefault="001E115C" w:rsidP="00934859">
      <w:pPr>
        <w:pStyle w:val="Paragraphedeliste"/>
        <w:numPr>
          <w:ilvl w:val="0"/>
          <w:numId w:val="21"/>
        </w:numPr>
        <w:ind w:left="1560"/>
      </w:pPr>
      <w:r w:rsidRPr="008E52AC">
        <w:t xml:space="preserve">Les </w:t>
      </w:r>
      <w:proofErr w:type="spellStart"/>
      <w:r w:rsidRPr="008E52AC">
        <w:t>e.gate</w:t>
      </w:r>
      <w:proofErr w:type="spellEnd"/>
      <w:r w:rsidRPr="008E52AC">
        <w:t xml:space="preserve"> sont des concentrateurs de données ; ils constituent également des passerelles de communication entre les </w:t>
      </w:r>
      <w:proofErr w:type="spellStart"/>
      <w:r w:rsidRPr="008E52AC">
        <w:t>e.bloxx</w:t>
      </w:r>
      <w:proofErr w:type="spellEnd"/>
      <w:r w:rsidRPr="008E52AC">
        <w:t xml:space="preserve"> (RS485) et les RS2 FX-FX.</w:t>
      </w:r>
    </w:p>
    <w:p w:rsidR="008E52AC" w:rsidRPr="008E52AC" w:rsidRDefault="001E115C" w:rsidP="00934859">
      <w:pPr>
        <w:pStyle w:val="Paragraphedeliste"/>
        <w:numPr>
          <w:ilvl w:val="0"/>
          <w:numId w:val="21"/>
        </w:numPr>
        <w:ind w:left="1560"/>
      </w:pPr>
      <w:r w:rsidRPr="008E52AC">
        <w:t>Ces derniers sont des commutateurs industriels (</w:t>
      </w:r>
      <w:proofErr w:type="spellStart"/>
      <w:r w:rsidRPr="008E52AC">
        <w:t>switch</w:t>
      </w:r>
      <w:proofErr w:type="spellEnd"/>
      <w:r w:rsidRPr="008E52AC">
        <w:t>) offrant deux ports fibre optique et 5 ports Ethernet. Il en existe neuf dans le système.</w:t>
      </w:r>
    </w:p>
    <w:p w:rsidR="008E52AC" w:rsidRDefault="008E52AC" w:rsidP="008E52AC">
      <w:pPr>
        <w:jc w:val="center"/>
        <w:rPr>
          <w:sz w:val="20"/>
          <w:szCs w:val="20"/>
        </w:rPr>
      </w:pPr>
      <w:r>
        <w:rPr>
          <w:noProof/>
          <w:sz w:val="20"/>
          <w:szCs w:val="20"/>
          <w:lang w:eastAsia="fr-FR"/>
        </w:rPr>
        <w:drawing>
          <wp:inline distT="0" distB="0" distL="0" distR="0">
            <wp:extent cx="5022733" cy="3728681"/>
            <wp:effectExtent l="19050" t="0" r="6467"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srcRect/>
                    <a:stretch>
                      <a:fillRect/>
                    </a:stretch>
                  </pic:blipFill>
                  <pic:spPr bwMode="auto">
                    <a:xfrm>
                      <a:off x="0" y="0"/>
                      <a:ext cx="5022947" cy="3728840"/>
                    </a:xfrm>
                    <a:prstGeom prst="rect">
                      <a:avLst/>
                    </a:prstGeom>
                    <a:noFill/>
                    <a:ln w="9525">
                      <a:noFill/>
                      <a:miter lim="800000"/>
                      <a:headEnd/>
                      <a:tailEnd/>
                    </a:ln>
                  </pic:spPr>
                </pic:pic>
              </a:graphicData>
            </a:graphic>
          </wp:inline>
        </w:drawing>
      </w:r>
      <w:r>
        <w:rPr>
          <w:sz w:val="20"/>
          <w:szCs w:val="20"/>
        </w:rPr>
        <w:br w:type="page"/>
      </w:r>
    </w:p>
    <w:p w:rsidR="00934859" w:rsidRPr="008E52AC" w:rsidRDefault="00934859" w:rsidP="00DE5126">
      <w:pPr>
        <w:spacing w:after="0"/>
        <w:ind w:left="839"/>
      </w:pPr>
      <w:r w:rsidRPr="008E52AC">
        <w:lastRenderedPageBreak/>
        <w:t>Une partie de la chaîne d’acquisition peut-être représentée ainsi :</w:t>
      </w:r>
    </w:p>
    <w:p w:rsidR="00934859" w:rsidRPr="001E115C" w:rsidRDefault="00934859" w:rsidP="0065463B">
      <w:pPr>
        <w:tabs>
          <w:tab w:val="left" w:pos="6237"/>
        </w:tabs>
        <w:ind w:left="-142"/>
        <w:jc w:val="center"/>
      </w:pPr>
      <w:r>
        <w:rPr>
          <w:noProof/>
          <w:lang w:eastAsia="fr-FR"/>
        </w:rPr>
        <w:drawing>
          <wp:inline distT="0" distB="0" distL="0" distR="0">
            <wp:extent cx="6776032" cy="6926158"/>
            <wp:effectExtent l="19050" t="0" r="5768" b="0"/>
            <wp:docPr id="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t="-1925"/>
                    <a:stretch>
                      <a:fillRect/>
                    </a:stretch>
                  </pic:blipFill>
                  <pic:spPr bwMode="auto">
                    <a:xfrm>
                      <a:off x="0" y="0"/>
                      <a:ext cx="6788287" cy="6938685"/>
                    </a:xfrm>
                    <a:prstGeom prst="rect">
                      <a:avLst/>
                    </a:prstGeom>
                    <a:noFill/>
                    <a:ln w="9525">
                      <a:noFill/>
                      <a:miter lim="800000"/>
                      <a:headEnd/>
                      <a:tailEnd/>
                    </a:ln>
                  </pic:spPr>
                </pic:pic>
              </a:graphicData>
            </a:graphic>
          </wp:inline>
        </w:drawing>
      </w:r>
    </w:p>
    <w:p w:rsidR="0065463B" w:rsidRDefault="0065463B" w:rsidP="00934859">
      <w:pPr>
        <w:spacing w:after="120"/>
        <w:ind w:left="709"/>
      </w:pPr>
    </w:p>
    <w:p w:rsidR="00934859" w:rsidRDefault="00934859" w:rsidP="00934859">
      <w:pPr>
        <w:spacing w:after="120"/>
        <w:ind w:left="709"/>
      </w:pPr>
      <w:r>
        <w:t xml:space="preserve">La communication entre un </w:t>
      </w:r>
      <w:proofErr w:type="spellStart"/>
      <w:r>
        <w:t>e.gate</w:t>
      </w:r>
      <w:proofErr w:type="spellEnd"/>
      <w:r>
        <w:t xml:space="preserve"> et un </w:t>
      </w:r>
      <w:proofErr w:type="spellStart"/>
      <w:r>
        <w:t>e.bloxx</w:t>
      </w:r>
      <w:proofErr w:type="spellEnd"/>
      <w:r>
        <w:t xml:space="preserve"> se fait selon le protocole MODBUS sur un support RS485. Le format de transmission est 8, E, 1, soit 8 bits de données, un bit de parité paire et un bit de STOP.</w:t>
      </w:r>
    </w:p>
    <w:p w:rsidR="00934859" w:rsidRDefault="00934859" w:rsidP="00934859">
      <w:pPr>
        <w:spacing w:after="120"/>
        <w:ind w:left="709"/>
      </w:pPr>
      <w:r>
        <w:t xml:space="preserve">Un document fourni en annexe 8 </w:t>
      </w:r>
      <w:proofErr w:type="gramStart"/>
      <w:r>
        <w:t>donne</w:t>
      </w:r>
      <w:proofErr w:type="gramEnd"/>
      <w:r>
        <w:t xml:space="preserve"> quelques détails de ce protocole.</w:t>
      </w:r>
    </w:p>
    <w:p w:rsidR="00934859" w:rsidRDefault="00934859" w:rsidP="00934859">
      <w:pPr>
        <w:spacing w:after="120"/>
        <w:ind w:left="709"/>
      </w:pPr>
      <w:r>
        <w:t>CT correspond au temps de transmission d’un caractère.</w:t>
      </w:r>
    </w:p>
    <w:p w:rsidR="00CA17A1" w:rsidRDefault="00934859" w:rsidP="00934859">
      <w:pPr>
        <w:spacing w:after="120"/>
        <w:ind w:left="709"/>
      </w:pPr>
      <w:r>
        <w:t>Le champ d’adresse est codé sur un octet, le CRC est codé sur deux octets.</w:t>
      </w:r>
    </w:p>
    <w:p w:rsidR="0065463B" w:rsidRDefault="0065463B">
      <w:r>
        <w:br w:type="page"/>
      </w:r>
    </w:p>
    <w:p w:rsidR="00735F10" w:rsidRDefault="00971418" w:rsidP="00971418">
      <w:pPr>
        <w:pStyle w:val="Paragraphedeliste"/>
        <w:numPr>
          <w:ilvl w:val="0"/>
          <w:numId w:val="3"/>
        </w:numPr>
      </w:pPr>
      <w:r>
        <w:lastRenderedPageBreak/>
        <w:t>La table 5.1 de la documentation sur le protocole MODBUS évoque un temps T2min. Choisissez la proposition correspondante à la bonne signification de ce paramètre.</w:t>
      </w:r>
    </w:p>
    <w:tbl>
      <w:tblPr>
        <w:tblStyle w:val="Grilledutableau"/>
        <w:tblW w:w="0" w:type="auto"/>
        <w:tblInd w:w="817" w:type="dxa"/>
        <w:tblLook w:val="04A0"/>
      </w:tblPr>
      <w:tblGrid>
        <w:gridCol w:w="10171"/>
      </w:tblGrid>
      <w:tr w:rsidR="00971418" w:rsidTr="00F24771">
        <w:tc>
          <w:tcPr>
            <w:tcW w:w="10171" w:type="dxa"/>
          </w:tcPr>
          <w:p w:rsidR="00971418" w:rsidRDefault="00971418" w:rsidP="00971418">
            <w:pPr>
              <w:pStyle w:val="Paragraphedeliste"/>
              <w:numPr>
                <w:ilvl w:val="0"/>
                <w:numId w:val="24"/>
              </w:numPr>
              <w:spacing w:before="60" w:after="60"/>
            </w:pPr>
            <w:r>
              <w:t>Temps de propagation minimum du signal pour parvenir au récepteur ;</w:t>
            </w:r>
          </w:p>
          <w:p w:rsidR="00971418" w:rsidRDefault="00971418" w:rsidP="00971418">
            <w:pPr>
              <w:pStyle w:val="Paragraphedeliste"/>
              <w:numPr>
                <w:ilvl w:val="0"/>
                <w:numId w:val="24"/>
              </w:numPr>
              <w:spacing w:before="60" w:after="60"/>
            </w:pPr>
            <w:r>
              <w:t>Temps minimum de transmission du CRC ;</w:t>
            </w:r>
          </w:p>
          <w:p w:rsidR="00971418" w:rsidRDefault="00971418" w:rsidP="00971418">
            <w:pPr>
              <w:pStyle w:val="Paragraphedeliste"/>
              <w:numPr>
                <w:ilvl w:val="0"/>
                <w:numId w:val="24"/>
              </w:numPr>
              <w:spacing w:before="60" w:after="60"/>
            </w:pPr>
            <w:r>
              <w:t>Durée minimale pour un bit de STOP ;</w:t>
            </w:r>
          </w:p>
          <w:p w:rsidR="00971418" w:rsidRDefault="00971418" w:rsidP="00971418">
            <w:pPr>
              <w:pStyle w:val="Paragraphedeliste"/>
              <w:numPr>
                <w:ilvl w:val="0"/>
                <w:numId w:val="24"/>
              </w:numPr>
              <w:spacing w:before="60" w:after="60"/>
            </w:pPr>
            <w:r>
              <w:t>Temps minimum imposé au système sollicité avant qu’il ne puisse répondre ;</w:t>
            </w:r>
          </w:p>
          <w:p w:rsidR="00971418" w:rsidRDefault="00971418" w:rsidP="00971418">
            <w:pPr>
              <w:pStyle w:val="Paragraphedeliste"/>
              <w:numPr>
                <w:ilvl w:val="0"/>
                <w:numId w:val="24"/>
              </w:numPr>
              <w:spacing w:before="60" w:after="60"/>
            </w:pPr>
            <w:r>
              <w:t>Durée minimale du temps d’aller-retour (Round Trip Delay) du signal;</w:t>
            </w:r>
          </w:p>
          <w:p w:rsidR="00971418" w:rsidRDefault="00971418" w:rsidP="00971418">
            <w:pPr>
              <w:pStyle w:val="Paragraphedeliste"/>
              <w:numPr>
                <w:ilvl w:val="0"/>
                <w:numId w:val="24"/>
              </w:numPr>
              <w:spacing w:before="60" w:after="60"/>
            </w:pPr>
            <w:r>
              <w:t>Temps minimum que mettra la requête pour parvenir au récepteur.</w:t>
            </w:r>
          </w:p>
          <w:p w:rsidR="00971418" w:rsidRDefault="00971418" w:rsidP="00971418">
            <w:pPr>
              <w:pStyle w:val="Paragraphedeliste"/>
              <w:numPr>
                <w:ilvl w:val="0"/>
                <w:numId w:val="24"/>
              </w:numPr>
              <w:spacing w:before="60" w:after="60"/>
            </w:pPr>
            <w:r>
              <w:t>Temps minimum en respect des spécifications RS485.</w:t>
            </w:r>
          </w:p>
        </w:tc>
      </w:tr>
    </w:tbl>
    <w:p w:rsidR="00971418" w:rsidRDefault="00971418" w:rsidP="00F24771">
      <w:pPr>
        <w:spacing w:before="120"/>
        <w:ind w:left="357"/>
      </w:pPr>
      <w:r>
        <w:t>On fixe une vites</w:t>
      </w:r>
      <w:r w:rsidR="00F24771">
        <w:t>se de transmission de 57600 bps et o</w:t>
      </w:r>
      <w:r>
        <w:t>n considère T1=1.5CT, T2=2CT, T3=3CT</w:t>
      </w:r>
      <w:r w:rsidR="00F24771">
        <w:t>.</w:t>
      </w:r>
    </w:p>
    <w:p w:rsidR="00F24771" w:rsidRDefault="00F24771" w:rsidP="00F24771">
      <w:pPr>
        <w:pStyle w:val="Paragraphedeliste"/>
        <w:numPr>
          <w:ilvl w:val="0"/>
          <w:numId w:val="3"/>
        </w:numPr>
        <w:spacing w:before="120"/>
        <w:ind w:left="714" w:hanging="357"/>
      </w:pPr>
      <w:r>
        <w:t>Calculez la valeur de CT (</w:t>
      </w:r>
      <w:proofErr w:type="spellStart"/>
      <w:r>
        <w:t>Character</w:t>
      </w:r>
      <w:proofErr w:type="spellEnd"/>
      <w:r>
        <w:t xml:space="preserve"> Time)</w:t>
      </w:r>
    </w:p>
    <w:tbl>
      <w:tblPr>
        <w:tblStyle w:val="Grilledutableau"/>
        <w:tblW w:w="0" w:type="auto"/>
        <w:tblInd w:w="817" w:type="dxa"/>
        <w:tblLook w:val="04A0"/>
      </w:tblPr>
      <w:tblGrid>
        <w:gridCol w:w="10171"/>
      </w:tblGrid>
      <w:tr w:rsidR="00F24771" w:rsidTr="00F24771">
        <w:tc>
          <w:tcPr>
            <w:tcW w:w="10171" w:type="dxa"/>
          </w:tcPr>
          <w:p w:rsidR="00F24771" w:rsidRDefault="00F24771" w:rsidP="00F24771">
            <w:pPr>
              <w:spacing w:before="120"/>
            </w:pPr>
          </w:p>
          <w:p w:rsidR="00F24771" w:rsidRDefault="00F24771" w:rsidP="00F24771">
            <w:pPr>
              <w:spacing w:before="120"/>
            </w:pPr>
          </w:p>
        </w:tc>
      </w:tr>
    </w:tbl>
    <w:p w:rsidR="00F24771" w:rsidRDefault="00F24771" w:rsidP="00F24771">
      <w:pPr>
        <w:pStyle w:val="Paragraphedeliste"/>
        <w:numPr>
          <w:ilvl w:val="0"/>
          <w:numId w:val="3"/>
        </w:numPr>
        <w:spacing w:before="120"/>
        <w:ind w:left="714" w:hanging="357"/>
      </w:pPr>
      <w:r>
        <w:t>Soit un télégramme de requête de 8 octets, suivi d’un télégramme de réponse de 9 octets. Calculez le temps Tit entre le début d’une requête et le début d’une éventuelle requête suivante.</w:t>
      </w:r>
    </w:p>
    <w:tbl>
      <w:tblPr>
        <w:tblStyle w:val="Grilledutableau"/>
        <w:tblW w:w="0" w:type="auto"/>
        <w:tblInd w:w="817" w:type="dxa"/>
        <w:tblLook w:val="04A0"/>
      </w:tblPr>
      <w:tblGrid>
        <w:gridCol w:w="10171"/>
      </w:tblGrid>
      <w:tr w:rsidR="00F24771" w:rsidTr="00F24771">
        <w:tc>
          <w:tcPr>
            <w:tcW w:w="10171" w:type="dxa"/>
          </w:tcPr>
          <w:p w:rsidR="00F24771" w:rsidRDefault="00F24771" w:rsidP="00F24771">
            <w:pPr>
              <w:spacing w:before="120"/>
            </w:pPr>
          </w:p>
          <w:p w:rsidR="00F24771" w:rsidRDefault="00F24771" w:rsidP="00F24771">
            <w:pPr>
              <w:spacing w:before="120"/>
            </w:pPr>
          </w:p>
          <w:p w:rsidR="00F24771" w:rsidRDefault="00F24771" w:rsidP="00F24771">
            <w:pPr>
              <w:spacing w:before="120"/>
            </w:pPr>
          </w:p>
        </w:tc>
      </w:tr>
    </w:tbl>
    <w:p w:rsidR="00F24771" w:rsidRDefault="00F24771" w:rsidP="00F24771">
      <w:pPr>
        <w:spacing w:before="120" w:after="0"/>
        <w:ind w:left="357"/>
      </w:pPr>
      <w:r>
        <w:t xml:space="preserve">Soit la lecture par un </w:t>
      </w:r>
      <w:proofErr w:type="spellStart"/>
      <w:r>
        <w:t>e.gate</w:t>
      </w:r>
      <w:proofErr w:type="spellEnd"/>
      <w:r>
        <w:t xml:space="preserve"> de deux variables réelles de type </w:t>
      </w:r>
      <w:proofErr w:type="spellStart"/>
      <w:r>
        <w:t>float</w:t>
      </w:r>
      <w:proofErr w:type="spellEnd"/>
      <w:r>
        <w:t xml:space="preserve"> d’un </w:t>
      </w:r>
      <w:proofErr w:type="spellStart"/>
      <w:r>
        <w:t>e.bloxx</w:t>
      </w:r>
      <w:proofErr w:type="spellEnd"/>
      <w:r>
        <w:t xml:space="preserve"> à partir de la variable 2 du paragraphe 5.4 « </w:t>
      </w:r>
      <w:proofErr w:type="spellStart"/>
      <w:r>
        <w:t>Register</w:t>
      </w:r>
      <w:proofErr w:type="spellEnd"/>
      <w:r>
        <w:t xml:space="preserve"> Contents » de l’annexe 8.</w:t>
      </w:r>
    </w:p>
    <w:p w:rsidR="00F24771" w:rsidRDefault="00F24771" w:rsidP="00F24771">
      <w:pPr>
        <w:spacing w:before="120" w:after="0"/>
        <w:ind w:left="357"/>
      </w:pPr>
      <w:r>
        <w:t>On considère que les variables ont chacune une valeur réelle courante dont le codage (du MSB au LSB) résultant est :</w:t>
      </w:r>
    </w:p>
    <w:p w:rsidR="00F24771" w:rsidRDefault="00F24771" w:rsidP="00F24771">
      <w:pPr>
        <w:pStyle w:val="Paragraphedeliste"/>
        <w:numPr>
          <w:ilvl w:val="1"/>
          <w:numId w:val="26"/>
        </w:numPr>
        <w:spacing w:before="120"/>
      </w:pPr>
      <w:r>
        <w:t>42 49 3C D3 pour la première variable ;</w:t>
      </w:r>
    </w:p>
    <w:p w:rsidR="00F24771" w:rsidRDefault="00F24771" w:rsidP="00F24771">
      <w:pPr>
        <w:pStyle w:val="Paragraphedeliste"/>
        <w:numPr>
          <w:ilvl w:val="1"/>
          <w:numId w:val="26"/>
        </w:numPr>
        <w:spacing w:before="120"/>
      </w:pPr>
      <w:r>
        <w:t>C6 22 02 68 pour la deuxième variable ;</w:t>
      </w:r>
    </w:p>
    <w:p w:rsidR="00F24771" w:rsidRDefault="00F24771" w:rsidP="00F24771">
      <w:pPr>
        <w:spacing w:after="0"/>
        <w:ind w:left="357"/>
      </w:pPr>
      <w:r>
        <w:t>L’adresse de l’esclave interrogé est 0xA4.</w:t>
      </w:r>
    </w:p>
    <w:p w:rsidR="00F24771" w:rsidRDefault="00F24771" w:rsidP="00DE5126">
      <w:pPr>
        <w:pStyle w:val="Paragraphedeliste"/>
        <w:numPr>
          <w:ilvl w:val="0"/>
          <w:numId w:val="3"/>
        </w:numPr>
        <w:spacing w:before="120" w:after="0"/>
        <w:ind w:left="714" w:hanging="357"/>
      </w:pPr>
      <w:r>
        <w:t>Donnez la valeur des champs demandés et complétez le contenu des télégrammes occasionnés par cette lecture.</w:t>
      </w:r>
    </w:p>
    <w:tbl>
      <w:tblPr>
        <w:tblStyle w:val="Grilledutableau"/>
        <w:tblW w:w="0" w:type="auto"/>
        <w:tblInd w:w="817" w:type="dxa"/>
        <w:tblLook w:val="04A0"/>
      </w:tblPr>
      <w:tblGrid>
        <w:gridCol w:w="10171"/>
      </w:tblGrid>
      <w:tr w:rsidR="00F24771" w:rsidTr="00F24771">
        <w:tc>
          <w:tcPr>
            <w:tcW w:w="10171" w:type="dxa"/>
          </w:tcPr>
          <w:p w:rsidR="00F24771" w:rsidRDefault="00F24771" w:rsidP="0065463B">
            <w:pPr>
              <w:spacing w:before="120" w:after="120"/>
              <w:jc w:val="center"/>
            </w:pPr>
            <w:r>
              <w:rPr>
                <w:noProof/>
                <w:lang w:eastAsia="fr-FR"/>
              </w:rPr>
              <w:drawing>
                <wp:inline distT="0" distB="0" distL="0" distR="0">
                  <wp:extent cx="6205665" cy="2944535"/>
                  <wp:effectExtent l="19050" t="0" r="4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6206915" cy="2945128"/>
                          </a:xfrm>
                          <a:prstGeom prst="rect">
                            <a:avLst/>
                          </a:prstGeom>
                          <a:noFill/>
                          <a:ln w="9525">
                            <a:noFill/>
                            <a:miter lim="800000"/>
                            <a:headEnd/>
                            <a:tailEnd/>
                          </a:ln>
                        </pic:spPr>
                      </pic:pic>
                    </a:graphicData>
                  </a:graphic>
                </wp:inline>
              </w:drawing>
            </w:r>
          </w:p>
        </w:tc>
      </w:tr>
    </w:tbl>
    <w:p w:rsidR="0065463B" w:rsidRDefault="0065463B" w:rsidP="0065463B">
      <w:pPr>
        <w:rPr>
          <w:rFonts w:asciiTheme="majorHAnsi" w:eastAsiaTheme="majorEastAsia" w:hAnsiTheme="majorHAnsi" w:cstheme="majorBidi"/>
          <w:color w:val="365F91" w:themeColor="accent1" w:themeShade="BF"/>
          <w:sz w:val="28"/>
          <w:szCs w:val="28"/>
        </w:rPr>
      </w:pPr>
      <w:r>
        <w:br w:type="page"/>
      </w:r>
    </w:p>
    <w:p w:rsidR="00622A75" w:rsidRDefault="00FC7B3B" w:rsidP="00337AA8">
      <w:pPr>
        <w:pStyle w:val="Titre1"/>
        <w:spacing w:before="240"/>
        <w:ind w:left="431" w:hanging="431"/>
      </w:pPr>
      <w:r w:rsidRPr="00FC7B3B">
        <w:lastRenderedPageBreak/>
        <w:t>Direction et vitesse du vent</w:t>
      </w:r>
    </w:p>
    <w:p w:rsidR="00FC7B3B" w:rsidRDefault="00FC7B3B" w:rsidP="00FC7B3B">
      <w:pPr>
        <w:spacing w:after="120"/>
        <w:ind w:left="425"/>
      </w:pPr>
      <w:r>
        <w:t>Ces mesures sont confiées à l’anémomètre à ultrasons USA1 de METEK.</w:t>
      </w:r>
    </w:p>
    <w:p w:rsidR="00FC7B3B" w:rsidRDefault="00FC7B3B" w:rsidP="00FC7B3B">
      <w:pPr>
        <w:spacing w:after="120"/>
        <w:ind w:left="425"/>
      </w:pPr>
      <w:r>
        <w:t>Cet appareil, dont une représentation est fournie en annexe 9, repose sur trois groupes émetteur-récepteur d’impulsions ultrasoniques disposés sur trois plans différents. La transmission du son repose sur un fluide, l’air dans le cas présent.</w:t>
      </w:r>
    </w:p>
    <w:p w:rsidR="00FC7B3B" w:rsidRDefault="00FC7B3B" w:rsidP="00FC7B3B">
      <w:pPr>
        <w:spacing w:after="120"/>
        <w:ind w:left="425"/>
      </w:pPr>
      <w:r>
        <w:t>Le vent modifie les caractéristiques de ce fluide et donc influe sur le temps que mettent les ultrasons pour parvenir d’un émetteur à un récepteur.</w:t>
      </w:r>
    </w:p>
    <w:p w:rsidR="00FC7B3B" w:rsidRDefault="00FC7B3B" w:rsidP="00FC7B3B">
      <w:pPr>
        <w:spacing w:after="120"/>
        <w:ind w:left="425"/>
      </w:pPr>
      <w:r>
        <w:t>Un traitement informatique intégré à l’appareil permet d’obtenir numériquement sur une voie série RS232 la vitesse et la direction du vent.</w:t>
      </w:r>
    </w:p>
    <w:p w:rsidR="00FC7B3B" w:rsidRDefault="00FC7B3B" w:rsidP="00FC7B3B">
      <w:pPr>
        <w:spacing w:after="120"/>
        <w:ind w:left="425"/>
      </w:pPr>
      <w:r>
        <w:t>La partie « communication » de la documentation indique :</w:t>
      </w:r>
    </w:p>
    <w:p w:rsidR="00FC7B3B" w:rsidRPr="00FC7B3B" w:rsidRDefault="00FC7B3B" w:rsidP="00FC7B3B">
      <w:pPr>
        <w:ind w:left="426"/>
      </w:pPr>
      <w:r>
        <w:t xml:space="preserve">« </w:t>
      </w:r>
      <w:proofErr w:type="spellStart"/>
      <w:r w:rsidRPr="00FC7B3B">
        <w:rPr>
          <w:rFonts w:ascii="Times New Roman" w:hAnsi="Times New Roman" w:cs="Times New Roman"/>
          <w:i/>
        </w:rPr>
        <w:t>Because</w:t>
      </w:r>
      <w:proofErr w:type="spellEnd"/>
      <w:r w:rsidRPr="00FC7B3B">
        <w:rPr>
          <w:rFonts w:ascii="Times New Roman" w:hAnsi="Times New Roman" w:cs="Times New Roman"/>
          <w:i/>
        </w:rPr>
        <w:t xml:space="preserve"> </w:t>
      </w:r>
      <w:proofErr w:type="spellStart"/>
      <w:r w:rsidRPr="00FC7B3B">
        <w:rPr>
          <w:rFonts w:ascii="Times New Roman" w:hAnsi="Times New Roman" w:cs="Times New Roman"/>
          <w:i/>
        </w:rPr>
        <w:t>there</w:t>
      </w:r>
      <w:proofErr w:type="spellEnd"/>
      <w:r w:rsidRPr="00FC7B3B">
        <w:rPr>
          <w:rFonts w:ascii="Times New Roman" w:hAnsi="Times New Roman" w:cs="Times New Roman"/>
          <w:i/>
        </w:rPr>
        <w:t xml:space="preserve"> </w:t>
      </w:r>
      <w:proofErr w:type="spellStart"/>
      <w:r w:rsidRPr="00FC7B3B">
        <w:rPr>
          <w:rFonts w:ascii="Times New Roman" w:hAnsi="Times New Roman" w:cs="Times New Roman"/>
          <w:i/>
        </w:rPr>
        <w:t>is</w:t>
      </w:r>
      <w:proofErr w:type="spellEnd"/>
      <w:r w:rsidRPr="00FC7B3B">
        <w:rPr>
          <w:rFonts w:ascii="Times New Roman" w:hAnsi="Times New Roman" w:cs="Times New Roman"/>
          <w:i/>
        </w:rPr>
        <w:t xml:space="preserve"> no support for hardware-</w:t>
      </w:r>
      <w:proofErr w:type="spellStart"/>
      <w:r w:rsidRPr="00FC7B3B">
        <w:rPr>
          <w:rFonts w:ascii="Times New Roman" w:hAnsi="Times New Roman" w:cs="Times New Roman"/>
          <w:i/>
        </w:rPr>
        <w:t>handshake</w:t>
      </w:r>
      <w:proofErr w:type="spellEnd"/>
      <w:r w:rsidRPr="00FC7B3B">
        <w:rPr>
          <w:rFonts w:ascii="Times New Roman" w:hAnsi="Times New Roman" w:cs="Times New Roman"/>
          <w:i/>
        </w:rPr>
        <w:t xml:space="preserve"> the USA-1 uses the XON/XOFF-</w:t>
      </w:r>
      <w:proofErr w:type="spellStart"/>
      <w:r w:rsidRPr="00FC7B3B">
        <w:rPr>
          <w:rFonts w:ascii="Times New Roman" w:hAnsi="Times New Roman" w:cs="Times New Roman"/>
          <w:i/>
        </w:rPr>
        <w:t>protocol</w:t>
      </w:r>
      <w:proofErr w:type="spellEnd"/>
      <w:r w:rsidRPr="00FC7B3B">
        <w:rPr>
          <w:rFonts w:ascii="Times New Roman" w:hAnsi="Times New Roman" w:cs="Times New Roman"/>
          <w:i/>
        </w:rPr>
        <w:t xml:space="preserve"> (software-</w:t>
      </w:r>
      <w:proofErr w:type="spellStart"/>
      <w:r w:rsidRPr="00FC7B3B">
        <w:rPr>
          <w:rFonts w:ascii="Times New Roman" w:hAnsi="Times New Roman" w:cs="Times New Roman"/>
          <w:i/>
        </w:rPr>
        <w:t>handshake</w:t>
      </w:r>
      <w:proofErr w:type="spellEnd"/>
      <w:r w:rsidRPr="00FC7B3B">
        <w:rPr>
          <w:rFonts w:ascii="Times New Roman" w:hAnsi="Times New Roman" w:cs="Times New Roman"/>
          <w:i/>
        </w:rPr>
        <w:t>)</w:t>
      </w:r>
      <w:r>
        <w:t xml:space="preserve"> ».</w:t>
      </w:r>
    </w:p>
    <w:p w:rsidR="009D7ABC" w:rsidRDefault="00FC7B3B" w:rsidP="00FC7B3B">
      <w:pPr>
        <w:pStyle w:val="Paragraphedeliste"/>
        <w:numPr>
          <w:ilvl w:val="0"/>
          <w:numId w:val="3"/>
        </w:numPr>
        <w:spacing w:before="120"/>
        <w:ind w:left="714" w:hanging="357"/>
      </w:pPr>
      <w:r>
        <w:t xml:space="preserve">Quelle affirmation décrit correctement </w:t>
      </w:r>
      <w:r w:rsidRPr="00FC7B3B">
        <w:t xml:space="preserve"> le contrôle de flux XON/XOFF.</w:t>
      </w:r>
      <w:r w:rsidR="00134AB8">
        <w:t>?</w:t>
      </w:r>
    </w:p>
    <w:tbl>
      <w:tblPr>
        <w:tblStyle w:val="Grilledutableau"/>
        <w:tblW w:w="0" w:type="auto"/>
        <w:tblInd w:w="709" w:type="dxa"/>
        <w:tblLook w:val="04A0"/>
      </w:tblPr>
      <w:tblGrid>
        <w:gridCol w:w="959"/>
        <w:gridCol w:w="9320"/>
      </w:tblGrid>
      <w:tr w:rsidR="00FC7B3B" w:rsidTr="00FC7B3B">
        <w:tc>
          <w:tcPr>
            <w:tcW w:w="959" w:type="dxa"/>
          </w:tcPr>
          <w:p w:rsidR="00FC7B3B" w:rsidRDefault="00FC7B3B" w:rsidP="00FC7B3B">
            <w:pPr>
              <w:spacing w:before="120" w:after="120"/>
            </w:pPr>
            <w:r>
              <w:t xml:space="preserve"> </w:t>
            </w:r>
          </w:p>
        </w:tc>
        <w:tc>
          <w:tcPr>
            <w:tcW w:w="9320" w:type="dxa"/>
          </w:tcPr>
          <w:p w:rsidR="00FC7B3B" w:rsidRDefault="00FC7B3B" w:rsidP="00FC7B3B">
            <w:pPr>
              <w:spacing w:before="120" w:after="120"/>
            </w:pPr>
            <w:r>
              <w:t>XON/XOFF est un contrôle de flux logiciel évitant l’ajout de fils entre un émetteur et un récepteur d’une liaison RS232 pour assurer la même fonctionnalité.</w:t>
            </w:r>
          </w:p>
          <w:p w:rsidR="00FC7B3B" w:rsidRDefault="00FC7B3B" w:rsidP="00FC7B3B">
            <w:pPr>
              <w:spacing w:before="120" w:after="120"/>
            </w:pPr>
            <w:r>
              <w:t>Lorsque le tampon de réception du récepteur arrive à saturation, ce dernier envoie un XOFF (code 0x13) à l’émetteur qui suspend son émission. On évite ainsi au récepteur d’être submergé par le débit trop rapide de l’émetteur. Une fois les données du tampon de réception consommées, le récepteur envoie un XON (code 0x11) à l’émetteur. Ce dernier reprend alors son émission.</w:t>
            </w:r>
          </w:p>
        </w:tc>
      </w:tr>
      <w:tr w:rsidR="00FC7B3B" w:rsidTr="00FC7B3B">
        <w:tc>
          <w:tcPr>
            <w:tcW w:w="959" w:type="dxa"/>
          </w:tcPr>
          <w:p w:rsidR="00FC7B3B" w:rsidRDefault="00FC7B3B" w:rsidP="00FC7B3B">
            <w:pPr>
              <w:spacing w:before="120" w:after="120"/>
            </w:pPr>
          </w:p>
        </w:tc>
        <w:tc>
          <w:tcPr>
            <w:tcW w:w="9320" w:type="dxa"/>
          </w:tcPr>
          <w:p w:rsidR="00FC7B3B" w:rsidRDefault="00477BC1" w:rsidP="00477BC1">
            <w:pPr>
              <w:spacing w:before="120" w:after="120"/>
            </w:pPr>
            <w:r>
              <w:t>XON/XOFF</w:t>
            </w:r>
            <w:r w:rsidRPr="00477BC1">
              <w:t xml:space="preserve"> utilise deux broches supplémentaires sur le connecteur RS232, </w:t>
            </w:r>
            <w:r>
              <w:t>XON</w:t>
            </w:r>
            <w:r w:rsidRPr="00477BC1">
              <w:t xml:space="preserve"> et</w:t>
            </w:r>
            <w:r>
              <w:t xml:space="preserve"> XOFF</w:t>
            </w:r>
            <w:r w:rsidRPr="00477BC1">
              <w:t xml:space="preserve">. Ces deux lignes permettent au receveur et à l’émetteur d’alerter chaque côté de leur état. Un émetteur alerte sa ligne </w:t>
            </w:r>
            <w:r>
              <w:t>XOFF</w:t>
            </w:r>
            <w:r w:rsidRPr="00477BC1">
              <w:t xml:space="preserve">, qui provoque une interruption sur le receveur, ex: Puis-je envoyer des données? Si le receveur est dans une position pour recevoir des données, il va alerter la ligne </w:t>
            </w:r>
            <w:r>
              <w:t>XON</w:t>
            </w:r>
            <w:r w:rsidRPr="00477BC1">
              <w:t>, ex: Oui vous pouvez commencer à envoyer.</w:t>
            </w:r>
          </w:p>
        </w:tc>
      </w:tr>
    </w:tbl>
    <w:p w:rsidR="00477BC1" w:rsidRDefault="00477BC1" w:rsidP="00477BC1">
      <w:pPr>
        <w:spacing w:before="120" w:after="120"/>
        <w:ind w:left="357"/>
      </w:pPr>
    </w:p>
    <w:p w:rsidR="00477BC1" w:rsidRDefault="00477BC1" w:rsidP="00477BC1">
      <w:pPr>
        <w:spacing w:before="120" w:after="120"/>
        <w:ind w:left="357"/>
      </w:pPr>
    </w:p>
    <w:p w:rsidR="00477BC1" w:rsidRDefault="00477BC1" w:rsidP="00477BC1">
      <w:pPr>
        <w:spacing w:before="120" w:after="120"/>
        <w:ind w:left="357"/>
      </w:pPr>
    </w:p>
    <w:p w:rsidR="002271FF" w:rsidRDefault="002271FF" w:rsidP="002271FF">
      <w:pPr>
        <w:spacing w:after="120"/>
        <w:ind w:left="357"/>
      </w:pPr>
      <w:r>
        <w:t xml:space="preserve">L’USA1 peut-être livrée avec une connectivité RS422. Mais un </w:t>
      </w:r>
      <w:proofErr w:type="spellStart"/>
      <w:r>
        <w:t>e.gate</w:t>
      </w:r>
      <w:proofErr w:type="spellEnd"/>
      <w:r>
        <w:t xml:space="preserve"> possède des ports RS485. Il faut donc utiliser la version RS232 de l’USA1 et avoir recours à un adaptateur RS232 &lt;-&gt; RS485.</w:t>
      </w:r>
    </w:p>
    <w:p w:rsidR="002271FF" w:rsidRDefault="002271FF" w:rsidP="002271FF">
      <w:pPr>
        <w:spacing w:after="120"/>
        <w:ind w:left="357"/>
      </w:pPr>
      <w:r>
        <w:t>On rappelle que :</w:t>
      </w:r>
    </w:p>
    <w:p w:rsidR="002271FF" w:rsidRDefault="002271FF" w:rsidP="002271FF">
      <w:pPr>
        <w:pStyle w:val="Paragraphedeliste"/>
        <w:numPr>
          <w:ilvl w:val="0"/>
          <w:numId w:val="27"/>
        </w:numPr>
        <w:spacing w:after="120"/>
      </w:pPr>
      <w:r>
        <w:t>la RS422 repose sur une transmission différentielle unidirectionnelle sur deux fils, 4 fils sont nécessaires pour une transmission bidirectionnelle full duplex.</w:t>
      </w:r>
    </w:p>
    <w:p w:rsidR="002271FF" w:rsidRDefault="002271FF" w:rsidP="002271FF">
      <w:pPr>
        <w:pStyle w:val="Paragraphedeliste"/>
        <w:numPr>
          <w:ilvl w:val="0"/>
          <w:numId w:val="27"/>
        </w:numPr>
        <w:spacing w:after="120"/>
      </w:pPr>
      <w:r>
        <w:t>la RS485 repose sur une transmission différentielle bidirectionnelle sur deux fils.</w:t>
      </w:r>
    </w:p>
    <w:p w:rsidR="002271FF" w:rsidRDefault="002271FF" w:rsidP="002271FF">
      <w:pPr>
        <w:spacing w:after="120"/>
        <w:ind w:left="357"/>
      </w:pPr>
      <w:r>
        <w:t>La documentation d’un driver de lignes RS485, le SN65176B, est fournie en annexe 10.</w:t>
      </w:r>
    </w:p>
    <w:p w:rsidR="00477BC1" w:rsidRDefault="002271FF" w:rsidP="002271FF">
      <w:pPr>
        <w:spacing w:after="120"/>
        <w:ind w:left="357"/>
      </w:pPr>
      <w:r>
        <w:t>Ce composant s’intègre dans un appareil à connectivité RS485 selon le synoptique suivant :</w:t>
      </w:r>
    </w:p>
    <w:p w:rsidR="002271FF" w:rsidRDefault="002271FF" w:rsidP="00477BC1">
      <w:pPr>
        <w:spacing w:before="120" w:after="120"/>
        <w:ind w:left="357"/>
      </w:pPr>
      <w:r>
        <w:rPr>
          <w:noProof/>
          <w:lang w:eastAsia="fr-FR"/>
        </w:rPr>
        <w:drawing>
          <wp:inline distT="0" distB="0" distL="0" distR="0">
            <wp:extent cx="6078070" cy="1197544"/>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6076544" cy="1197243"/>
                    </a:xfrm>
                    <a:prstGeom prst="rect">
                      <a:avLst/>
                    </a:prstGeom>
                    <a:noFill/>
                    <a:ln w="9525">
                      <a:noFill/>
                      <a:miter lim="800000"/>
                      <a:headEnd/>
                      <a:tailEnd/>
                    </a:ln>
                  </pic:spPr>
                </pic:pic>
              </a:graphicData>
            </a:graphic>
          </wp:inline>
        </w:drawing>
      </w:r>
    </w:p>
    <w:p w:rsidR="00477BC1" w:rsidRDefault="00477BC1" w:rsidP="00477BC1">
      <w:pPr>
        <w:spacing w:before="120" w:after="120"/>
        <w:ind w:left="357"/>
      </w:pPr>
      <w:r w:rsidRPr="00477BC1">
        <w:t>La documentation indique 9600, N, 8, 1 comme vitesse/format de transmission.</w:t>
      </w:r>
    </w:p>
    <w:p w:rsidR="006C3A52" w:rsidRDefault="002271FF" w:rsidP="00477BC1">
      <w:pPr>
        <w:pStyle w:val="Paragraphedeliste"/>
        <w:numPr>
          <w:ilvl w:val="0"/>
          <w:numId w:val="3"/>
        </w:numPr>
        <w:spacing w:before="120"/>
        <w:ind w:left="714" w:hanging="357"/>
      </w:pPr>
      <w:r>
        <w:lastRenderedPageBreak/>
        <w:t>Indiquez sur le schéma précédant où se situe la communication RS232</w:t>
      </w:r>
      <w:r w:rsidR="006C3A52">
        <w:t> ?</w:t>
      </w:r>
    </w:p>
    <w:p w:rsidR="002271FF" w:rsidRDefault="002271FF" w:rsidP="002271FF">
      <w:pPr>
        <w:pStyle w:val="Paragraphedeliste"/>
        <w:numPr>
          <w:ilvl w:val="0"/>
          <w:numId w:val="3"/>
        </w:numPr>
        <w:spacing w:before="120"/>
        <w:ind w:left="714" w:hanging="357"/>
      </w:pPr>
      <w:r>
        <w:t>Complétez le l’oscillogramm</w:t>
      </w:r>
      <w:r w:rsidR="00D702AD">
        <w:t>e de l’émission du caractère « XON</w:t>
      </w:r>
      <w:r>
        <w:t> » sur la ligne RS232 TX. Indiquez les niveaux électriques et les durées.</w:t>
      </w:r>
    </w:p>
    <w:tbl>
      <w:tblPr>
        <w:tblStyle w:val="Grilledutableau"/>
        <w:tblW w:w="0" w:type="auto"/>
        <w:tblInd w:w="675" w:type="dxa"/>
        <w:tblLook w:val="04A0"/>
      </w:tblPr>
      <w:tblGrid>
        <w:gridCol w:w="10313"/>
      </w:tblGrid>
      <w:tr w:rsidR="006C3A52" w:rsidTr="006C3A52">
        <w:tc>
          <w:tcPr>
            <w:tcW w:w="10313" w:type="dxa"/>
          </w:tcPr>
          <w:p w:rsidR="006C3A52" w:rsidRDefault="002271FF" w:rsidP="0005442F">
            <w:pPr>
              <w:spacing w:before="120" w:after="120"/>
              <w:ind w:left="34"/>
              <w:jc w:val="center"/>
            </w:pPr>
            <w:r>
              <w:object w:dxaOrig="13230" w:dyaOrig="5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65pt;height:211.1pt" o:ole="">
                  <v:imagedata r:id="rId12" o:title=""/>
                </v:shape>
                <o:OLEObject Type="Embed" ProgID="PBrush" ShapeID="_x0000_i1025" DrawAspect="Content" ObjectID="_1482507801" r:id="rId13"/>
              </w:object>
            </w:r>
          </w:p>
        </w:tc>
      </w:tr>
    </w:tbl>
    <w:p w:rsidR="0005442F" w:rsidRDefault="0005442F" w:rsidP="0005442F">
      <w:pPr>
        <w:pStyle w:val="Paragraphedeliste"/>
        <w:numPr>
          <w:ilvl w:val="0"/>
          <w:numId w:val="3"/>
        </w:numPr>
        <w:spacing w:before="120" w:after="120"/>
        <w:ind w:left="714" w:hanging="357"/>
      </w:pPr>
      <w:r w:rsidRPr="0005442F">
        <w:t>Indique</w:t>
      </w:r>
      <w:r>
        <w:t>z le rôle du signal</w:t>
      </w:r>
      <w:r w:rsidRPr="0005442F">
        <w:t xml:space="preserve"> DE.</w:t>
      </w:r>
    </w:p>
    <w:tbl>
      <w:tblPr>
        <w:tblStyle w:val="Grilledutableau"/>
        <w:tblW w:w="0" w:type="auto"/>
        <w:tblInd w:w="817" w:type="dxa"/>
        <w:tblLook w:val="04A0"/>
      </w:tblPr>
      <w:tblGrid>
        <w:gridCol w:w="10171"/>
      </w:tblGrid>
      <w:tr w:rsidR="0005442F" w:rsidTr="00ED5ED7">
        <w:tc>
          <w:tcPr>
            <w:tcW w:w="10171" w:type="dxa"/>
          </w:tcPr>
          <w:p w:rsidR="0005442F" w:rsidRDefault="0005442F" w:rsidP="0005442F"/>
          <w:p w:rsidR="0005442F" w:rsidRDefault="0005442F" w:rsidP="0005442F"/>
          <w:p w:rsidR="0005442F" w:rsidRDefault="0005442F" w:rsidP="0005442F"/>
          <w:p w:rsidR="0005442F" w:rsidRDefault="0005442F" w:rsidP="0005442F"/>
          <w:p w:rsidR="0005442F" w:rsidRDefault="0005442F" w:rsidP="0005442F"/>
        </w:tc>
      </w:tr>
    </w:tbl>
    <w:p w:rsidR="0005442F" w:rsidRDefault="0005442F" w:rsidP="0005442F">
      <w:pPr>
        <w:pStyle w:val="Paragraphedeliste"/>
        <w:numPr>
          <w:ilvl w:val="0"/>
          <w:numId w:val="3"/>
        </w:numPr>
        <w:spacing w:before="120" w:after="0"/>
        <w:ind w:left="714" w:hanging="357"/>
      </w:pPr>
      <w:r>
        <w:t>Précise</w:t>
      </w:r>
      <w:r w:rsidR="00ED5ED7">
        <w:t>z</w:t>
      </w:r>
      <w:r>
        <w:t xml:space="preserve"> si cette architecture électronique permet d’obtenir une liaison RS485 </w:t>
      </w:r>
      <w:proofErr w:type="spellStart"/>
      <w:r>
        <w:t>half</w:t>
      </w:r>
      <w:proofErr w:type="spellEnd"/>
      <w:r>
        <w:t xml:space="preserve"> duplex ou full duplex. Justifier la réponse.</w:t>
      </w:r>
    </w:p>
    <w:tbl>
      <w:tblPr>
        <w:tblStyle w:val="Grilledutableau"/>
        <w:tblW w:w="0" w:type="auto"/>
        <w:tblInd w:w="817" w:type="dxa"/>
        <w:tblLook w:val="04A0"/>
      </w:tblPr>
      <w:tblGrid>
        <w:gridCol w:w="10171"/>
      </w:tblGrid>
      <w:tr w:rsidR="00ED5ED7" w:rsidTr="00ED5ED7">
        <w:tc>
          <w:tcPr>
            <w:tcW w:w="10171" w:type="dxa"/>
          </w:tcPr>
          <w:p w:rsidR="00ED5ED7" w:rsidRDefault="00ED5ED7" w:rsidP="00ED5ED7">
            <w:pPr>
              <w:spacing w:before="120"/>
            </w:pPr>
          </w:p>
          <w:p w:rsidR="00ED5ED7" w:rsidRDefault="00ED5ED7" w:rsidP="00ED5ED7">
            <w:pPr>
              <w:spacing w:before="120"/>
            </w:pPr>
          </w:p>
          <w:p w:rsidR="00ED5ED7" w:rsidRDefault="00ED5ED7" w:rsidP="00ED5ED7">
            <w:pPr>
              <w:spacing w:before="120"/>
            </w:pPr>
          </w:p>
          <w:p w:rsidR="00ED5ED7" w:rsidRDefault="00ED5ED7" w:rsidP="00ED5ED7">
            <w:pPr>
              <w:spacing w:before="120"/>
            </w:pPr>
          </w:p>
        </w:tc>
      </w:tr>
    </w:tbl>
    <w:p w:rsidR="00ED5ED7" w:rsidRDefault="00ED5ED7" w:rsidP="00ED5ED7">
      <w:pPr>
        <w:spacing w:before="120" w:after="0"/>
        <w:ind w:left="357"/>
      </w:pPr>
      <w:r>
        <w:t xml:space="preserve">L’ensemble Microprocesseur+UART est réalisé à partir d’un microcontrôleur ATmega16L. </w:t>
      </w:r>
    </w:p>
    <w:p w:rsidR="00ED5ED7" w:rsidRDefault="00ED5ED7" w:rsidP="00ED5ED7">
      <w:pPr>
        <w:spacing w:before="120"/>
        <w:ind w:left="357"/>
      </w:pPr>
      <w:r>
        <w:t xml:space="preserve">La fonction « </w:t>
      </w:r>
      <w:proofErr w:type="spellStart"/>
      <w:proofErr w:type="gramStart"/>
      <w:r w:rsidRPr="00217234">
        <w:rPr>
          <w:rFonts w:ascii="Courier New" w:hAnsi="Courier New" w:cs="Courier New"/>
          <w:b/>
        </w:rPr>
        <w:t>configUSART</w:t>
      </w:r>
      <w:proofErr w:type="spellEnd"/>
      <w:r w:rsidRPr="00217234">
        <w:rPr>
          <w:rFonts w:ascii="Courier New" w:hAnsi="Courier New" w:cs="Courier New"/>
          <w:b/>
        </w:rPr>
        <w:t>(</w:t>
      </w:r>
      <w:proofErr w:type="gramEnd"/>
      <w:r w:rsidRPr="00217234">
        <w:rPr>
          <w:rFonts w:ascii="Courier New" w:hAnsi="Courier New" w:cs="Courier New"/>
          <w:b/>
        </w:rPr>
        <w:t>)</w:t>
      </w:r>
      <w:r>
        <w:t xml:space="preserve"> » permet de configurer les paramètres de la liaison série du microcontrôleur.</w:t>
      </w:r>
    </w:p>
    <w:tbl>
      <w:tblPr>
        <w:tblStyle w:val="Grilledutableau"/>
        <w:tblW w:w="0" w:type="auto"/>
        <w:tblInd w:w="534" w:type="dxa"/>
        <w:tblLook w:val="04A0"/>
      </w:tblPr>
      <w:tblGrid>
        <w:gridCol w:w="10454"/>
      </w:tblGrid>
      <w:tr w:rsidR="00ED5ED7" w:rsidTr="008A7D9B">
        <w:tc>
          <w:tcPr>
            <w:tcW w:w="10454" w:type="dxa"/>
          </w:tcPr>
          <w:p w:rsidR="00ED5ED7" w:rsidRPr="00E9447A" w:rsidRDefault="00ED5ED7" w:rsidP="008A7D9B">
            <w:pPr>
              <w:tabs>
                <w:tab w:val="left" w:pos="6696"/>
              </w:tabs>
              <w:rPr>
                <w:rFonts w:ascii="Courier New" w:hAnsi="Courier New" w:cs="Courier New"/>
                <w:b/>
              </w:rPr>
            </w:pPr>
            <w:proofErr w:type="spellStart"/>
            <w:r w:rsidRPr="00E9447A">
              <w:rPr>
                <w:rFonts w:ascii="Courier New" w:hAnsi="Courier New" w:cs="Courier New"/>
                <w:b/>
              </w:rPr>
              <w:t>void</w:t>
            </w:r>
            <w:proofErr w:type="spellEnd"/>
            <w:r w:rsidRPr="00E9447A">
              <w:rPr>
                <w:rFonts w:ascii="Courier New" w:hAnsi="Courier New" w:cs="Courier New"/>
                <w:b/>
              </w:rPr>
              <w:t xml:space="preserve"> </w:t>
            </w:r>
            <w:proofErr w:type="spellStart"/>
            <w:proofErr w:type="gramStart"/>
            <w:r w:rsidRPr="00E9447A">
              <w:rPr>
                <w:rFonts w:ascii="Courier New" w:hAnsi="Courier New" w:cs="Courier New"/>
                <w:b/>
              </w:rPr>
              <w:t>configUSART</w:t>
            </w:r>
            <w:proofErr w:type="spellEnd"/>
            <w:r w:rsidRPr="00E9447A">
              <w:rPr>
                <w:rFonts w:ascii="Courier New" w:hAnsi="Courier New" w:cs="Courier New"/>
                <w:b/>
              </w:rPr>
              <w:t>(</w:t>
            </w:r>
            <w:proofErr w:type="spellStart"/>
            <w:proofErr w:type="gramEnd"/>
            <w:r w:rsidRPr="00E9447A">
              <w:rPr>
                <w:rFonts w:ascii="Courier New" w:hAnsi="Courier New" w:cs="Courier New"/>
                <w:b/>
              </w:rPr>
              <w:t>void</w:t>
            </w:r>
            <w:proofErr w:type="spellEnd"/>
            <w:r w:rsidRPr="00E9447A">
              <w:rPr>
                <w:rFonts w:ascii="Courier New" w:hAnsi="Courier New" w:cs="Courier New"/>
                <w:b/>
              </w:rPr>
              <w:t>)</w:t>
            </w:r>
          </w:p>
          <w:p w:rsidR="00ED5ED7" w:rsidRPr="00E9447A" w:rsidRDefault="00ED5ED7" w:rsidP="008A7D9B">
            <w:pPr>
              <w:tabs>
                <w:tab w:val="left" w:pos="6696"/>
              </w:tabs>
              <w:rPr>
                <w:rFonts w:ascii="Courier New" w:hAnsi="Courier New" w:cs="Courier New"/>
              </w:rPr>
            </w:pPr>
            <w:r w:rsidRPr="00E9447A">
              <w:rPr>
                <w:rFonts w:ascii="Courier New" w:hAnsi="Courier New" w:cs="Courier New"/>
              </w:rPr>
              <w:t>{</w:t>
            </w:r>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 xml:space="preserve">// USART </w:t>
            </w:r>
            <w:proofErr w:type="spellStart"/>
            <w:r w:rsidRPr="00E9447A">
              <w:rPr>
                <w:rFonts w:ascii="Courier New" w:hAnsi="Courier New" w:cs="Courier New"/>
              </w:rPr>
              <w:t>initialization</w:t>
            </w:r>
            <w:proofErr w:type="spellEnd"/>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 xml:space="preserve">// Communication </w:t>
            </w:r>
            <w:proofErr w:type="spellStart"/>
            <w:r w:rsidRPr="00E9447A">
              <w:rPr>
                <w:rFonts w:ascii="Courier New" w:hAnsi="Courier New" w:cs="Courier New"/>
              </w:rPr>
              <w:t>Parameters</w:t>
            </w:r>
            <w:proofErr w:type="spellEnd"/>
            <w:r w:rsidRPr="00E9447A">
              <w:rPr>
                <w:rFonts w:ascii="Courier New" w:hAnsi="Courier New" w:cs="Courier New"/>
              </w:rPr>
              <w:t xml:space="preserve">: </w:t>
            </w:r>
            <w:r>
              <w:rPr>
                <w:rFonts w:ascii="Courier New" w:hAnsi="Courier New" w:cs="Courier New"/>
              </w:rPr>
              <w:t>8</w:t>
            </w:r>
            <w:r w:rsidRPr="00E9447A">
              <w:rPr>
                <w:rFonts w:ascii="Courier New" w:hAnsi="Courier New" w:cs="Courier New"/>
              </w:rPr>
              <w:t xml:space="preserve"> Data, </w:t>
            </w:r>
            <w:r>
              <w:rPr>
                <w:rFonts w:ascii="Courier New" w:hAnsi="Courier New" w:cs="Courier New"/>
              </w:rPr>
              <w:t>1</w:t>
            </w:r>
            <w:r w:rsidRPr="00E9447A">
              <w:rPr>
                <w:rFonts w:ascii="Courier New" w:hAnsi="Courier New" w:cs="Courier New"/>
              </w:rPr>
              <w:t xml:space="preserve"> Stop, </w:t>
            </w:r>
            <w:r>
              <w:rPr>
                <w:rFonts w:ascii="Courier New" w:hAnsi="Courier New" w:cs="Courier New"/>
              </w:rPr>
              <w:t>NO</w:t>
            </w:r>
            <w:r w:rsidRPr="00E9447A">
              <w:rPr>
                <w:rFonts w:ascii="Courier New" w:hAnsi="Courier New" w:cs="Courier New"/>
              </w:rPr>
              <w:t xml:space="preserve"> </w:t>
            </w:r>
            <w:proofErr w:type="spellStart"/>
            <w:r w:rsidRPr="00E9447A">
              <w:rPr>
                <w:rFonts w:ascii="Courier New" w:hAnsi="Courier New" w:cs="Courier New"/>
              </w:rPr>
              <w:t>Parity</w:t>
            </w:r>
            <w:proofErr w:type="spellEnd"/>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 xml:space="preserve">// USART </w:t>
            </w:r>
            <w:proofErr w:type="spellStart"/>
            <w:r w:rsidRPr="00E9447A">
              <w:rPr>
                <w:rFonts w:ascii="Courier New" w:hAnsi="Courier New" w:cs="Courier New"/>
              </w:rPr>
              <w:t>Receiver</w:t>
            </w:r>
            <w:proofErr w:type="spellEnd"/>
            <w:r w:rsidRPr="00E9447A">
              <w:rPr>
                <w:rFonts w:ascii="Courier New" w:hAnsi="Courier New" w:cs="Courier New"/>
              </w:rPr>
              <w:t>: On</w:t>
            </w:r>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 xml:space="preserve">// USART </w:t>
            </w:r>
            <w:proofErr w:type="spellStart"/>
            <w:r w:rsidRPr="00E9447A">
              <w:rPr>
                <w:rFonts w:ascii="Courier New" w:hAnsi="Courier New" w:cs="Courier New"/>
              </w:rPr>
              <w:t>Transmitter</w:t>
            </w:r>
            <w:proofErr w:type="spellEnd"/>
            <w:r w:rsidRPr="00E9447A">
              <w:rPr>
                <w:rFonts w:ascii="Courier New" w:hAnsi="Courier New" w:cs="Courier New"/>
              </w:rPr>
              <w:t>: On</w:t>
            </w:r>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 xml:space="preserve">// USART Mode: </w:t>
            </w:r>
            <w:proofErr w:type="spellStart"/>
            <w:r w:rsidRPr="00E9447A">
              <w:rPr>
                <w:rFonts w:ascii="Courier New" w:hAnsi="Courier New" w:cs="Courier New"/>
              </w:rPr>
              <w:t>Asynchronous</w:t>
            </w:r>
            <w:proofErr w:type="spellEnd"/>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 USART Baud Rate: 9600</w:t>
            </w:r>
            <w:r>
              <w:rPr>
                <w:rFonts w:ascii="Courier New" w:hAnsi="Courier New" w:cs="Courier New"/>
              </w:rPr>
              <w:t xml:space="preserve"> bps</w:t>
            </w:r>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UCSRA = 0x00;</w:t>
            </w:r>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UCSRB = 0x98;</w:t>
            </w:r>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UCSRC = 0x86;</w:t>
            </w:r>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UBRRH = 0x00;</w:t>
            </w:r>
          </w:p>
          <w:p w:rsidR="00ED5ED7" w:rsidRPr="00E9447A" w:rsidRDefault="00ED5ED7" w:rsidP="008A7D9B">
            <w:pPr>
              <w:tabs>
                <w:tab w:val="left" w:pos="6696"/>
              </w:tabs>
              <w:ind w:left="317"/>
              <w:rPr>
                <w:rFonts w:ascii="Courier New" w:hAnsi="Courier New" w:cs="Courier New"/>
              </w:rPr>
            </w:pPr>
            <w:r w:rsidRPr="00E9447A">
              <w:rPr>
                <w:rFonts w:ascii="Courier New" w:hAnsi="Courier New" w:cs="Courier New"/>
              </w:rPr>
              <w:t>UBRRL = 0x…………;</w:t>
            </w:r>
          </w:p>
          <w:p w:rsidR="00ED5ED7" w:rsidRDefault="00ED5ED7" w:rsidP="008A7D9B">
            <w:pPr>
              <w:spacing w:before="120"/>
            </w:pPr>
            <w:r w:rsidRPr="00E9447A">
              <w:rPr>
                <w:rFonts w:ascii="Courier New" w:hAnsi="Courier New" w:cs="Courier New"/>
              </w:rPr>
              <w:t>}</w:t>
            </w:r>
          </w:p>
        </w:tc>
      </w:tr>
    </w:tbl>
    <w:p w:rsidR="00ED5ED7" w:rsidRDefault="00ED5ED7" w:rsidP="00ED5ED7">
      <w:pPr>
        <w:spacing w:before="120"/>
        <w:ind w:left="357"/>
      </w:pPr>
      <w:r>
        <w:t>La configuration des paramètres de communication est effectuée grâce aux registres de statut UCSRA, UCSRB, UCSRC et UBRR du microcontrôleur. Ces registres sont détaillés dans les documents annexes.</w:t>
      </w:r>
    </w:p>
    <w:p w:rsidR="00ED5ED7" w:rsidRDefault="00ED5ED7" w:rsidP="00504C96">
      <w:pPr>
        <w:pStyle w:val="Paragraphedeliste"/>
        <w:numPr>
          <w:ilvl w:val="0"/>
          <w:numId w:val="3"/>
        </w:numPr>
        <w:spacing w:before="120" w:after="0"/>
        <w:ind w:left="851" w:hanging="494"/>
      </w:pPr>
      <w:r>
        <w:lastRenderedPageBreak/>
        <w:t>D’après la valeur affectée au registre UCSRA, quelle est l’état du bit U2X ?</w:t>
      </w:r>
    </w:p>
    <w:tbl>
      <w:tblPr>
        <w:tblStyle w:val="Grilledutableau"/>
        <w:tblW w:w="0" w:type="auto"/>
        <w:tblInd w:w="817" w:type="dxa"/>
        <w:tblLook w:val="04A0"/>
      </w:tblPr>
      <w:tblGrid>
        <w:gridCol w:w="10171"/>
      </w:tblGrid>
      <w:tr w:rsidR="00ED5ED7" w:rsidTr="008A7D9B">
        <w:tc>
          <w:tcPr>
            <w:tcW w:w="10171" w:type="dxa"/>
          </w:tcPr>
          <w:p w:rsidR="00ED5ED7" w:rsidRPr="00A658B5" w:rsidRDefault="00ED5ED7" w:rsidP="008A7D9B">
            <w:pPr>
              <w:spacing w:before="120" w:after="120"/>
            </w:pPr>
            <w:r>
              <w:t xml:space="preserve">U2X = </w:t>
            </w:r>
          </w:p>
        </w:tc>
      </w:tr>
    </w:tbl>
    <w:p w:rsidR="00ED5ED7" w:rsidRDefault="00ED5ED7" w:rsidP="00504C96">
      <w:pPr>
        <w:pStyle w:val="Paragraphedeliste"/>
        <w:numPr>
          <w:ilvl w:val="0"/>
          <w:numId w:val="3"/>
        </w:numPr>
        <w:spacing w:before="120" w:after="0"/>
        <w:ind w:left="851" w:hanging="494"/>
      </w:pPr>
      <w:r>
        <w:t>Quelle est la valeur à attribuer au registre UBRRL pour configurer la vitesse de communication ? Donnez cette valeur en binaire puis en hexadécimal.</w:t>
      </w:r>
    </w:p>
    <w:tbl>
      <w:tblPr>
        <w:tblStyle w:val="Grilledutableau"/>
        <w:tblW w:w="0" w:type="auto"/>
        <w:tblInd w:w="817" w:type="dxa"/>
        <w:tblLook w:val="04A0"/>
      </w:tblPr>
      <w:tblGrid>
        <w:gridCol w:w="10092"/>
      </w:tblGrid>
      <w:tr w:rsidR="00ED5ED7" w:rsidTr="008A7D9B">
        <w:tc>
          <w:tcPr>
            <w:tcW w:w="10092" w:type="dxa"/>
          </w:tcPr>
          <w:p w:rsidR="00ED5ED7" w:rsidRDefault="00ED5ED7" w:rsidP="008A7D9B">
            <w:pPr>
              <w:spacing w:before="120" w:after="120"/>
            </w:pPr>
            <w:r>
              <w:t xml:space="preserve">UBRRL = </w:t>
            </w:r>
          </w:p>
        </w:tc>
      </w:tr>
      <w:tr w:rsidR="00ED5ED7" w:rsidTr="008A7D9B">
        <w:tc>
          <w:tcPr>
            <w:tcW w:w="10092" w:type="dxa"/>
          </w:tcPr>
          <w:p w:rsidR="00ED5ED7" w:rsidRDefault="00ED5ED7" w:rsidP="008A7D9B">
            <w:pPr>
              <w:spacing w:before="120" w:after="120"/>
            </w:pPr>
            <w:r>
              <w:t>UBRRL en binaire :</w:t>
            </w:r>
          </w:p>
        </w:tc>
      </w:tr>
      <w:tr w:rsidR="00ED5ED7" w:rsidTr="008A7D9B">
        <w:tc>
          <w:tcPr>
            <w:tcW w:w="10092" w:type="dxa"/>
          </w:tcPr>
          <w:p w:rsidR="00ED5ED7" w:rsidRDefault="00ED5ED7" w:rsidP="008A7D9B">
            <w:pPr>
              <w:spacing w:before="120" w:after="120"/>
            </w:pPr>
            <w:r>
              <w:t>UBRRL en hexadécimal :</w:t>
            </w:r>
          </w:p>
        </w:tc>
      </w:tr>
    </w:tbl>
    <w:p w:rsidR="00ED5ED7" w:rsidRDefault="00ED5ED7" w:rsidP="00504C96">
      <w:pPr>
        <w:pStyle w:val="Paragraphedeliste"/>
        <w:numPr>
          <w:ilvl w:val="0"/>
          <w:numId w:val="3"/>
        </w:numPr>
        <w:spacing w:before="120" w:after="0"/>
        <w:ind w:left="851" w:hanging="494"/>
      </w:pPr>
      <w:r>
        <w:t xml:space="preserve"> Indiquez à quel commentaire se rapporte cette configuration et complétez la fonction </w:t>
      </w:r>
      <w:proofErr w:type="spellStart"/>
      <w:proofErr w:type="gramStart"/>
      <w:r w:rsidRPr="00217234">
        <w:rPr>
          <w:rFonts w:ascii="Courier New" w:hAnsi="Courier New" w:cs="Courier New"/>
          <w:b/>
        </w:rPr>
        <w:t>ConfigUSART</w:t>
      </w:r>
      <w:proofErr w:type="spellEnd"/>
      <w:r w:rsidRPr="00217234">
        <w:rPr>
          <w:rFonts w:ascii="Courier New" w:hAnsi="Courier New" w:cs="Courier New"/>
          <w:b/>
        </w:rPr>
        <w:t>(</w:t>
      </w:r>
      <w:proofErr w:type="gramEnd"/>
      <w:r w:rsidRPr="00217234">
        <w:rPr>
          <w:rFonts w:ascii="Courier New" w:hAnsi="Courier New" w:cs="Courier New"/>
          <w:b/>
        </w:rPr>
        <w:t>)</w:t>
      </w:r>
      <w:r>
        <w:t> :</w:t>
      </w:r>
      <w:r w:rsidRPr="009E70D8">
        <w:t xml:space="preserve"> </w:t>
      </w:r>
    </w:p>
    <w:tbl>
      <w:tblPr>
        <w:tblStyle w:val="Grilledutableau"/>
        <w:tblW w:w="0" w:type="auto"/>
        <w:tblInd w:w="817" w:type="dxa"/>
        <w:tblLook w:val="04A0"/>
      </w:tblPr>
      <w:tblGrid>
        <w:gridCol w:w="10171"/>
      </w:tblGrid>
      <w:tr w:rsidR="00ED5ED7" w:rsidTr="008A7D9B">
        <w:tc>
          <w:tcPr>
            <w:tcW w:w="10171" w:type="dxa"/>
          </w:tcPr>
          <w:p w:rsidR="00ED5ED7" w:rsidRDefault="00ED5ED7" w:rsidP="008A7D9B">
            <w:pPr>
              <w:spacing w:before="120" w:after="120"/>
              <w:rPr>
                <w:rFonts w:ascii="Courier New" w:hAnsi="Courier New" w:cs="Courier New"/>
                <w:b/>
              </w:rPr>
            </w:pPr>
            <w:r w:rsidRPr="009E70D8">
              <w:rPr>
                <w:rFonts w:ascii="Courier New" w:hAnsi="Courier New" w:cs="Courier New"/>
                <w:b/>
              </w:rPr>
              <w:t>//</w:t>
            </w:r>
            <w:r w:rsidRPr="009E70D8">
              <w:rPr>
                <w:rFonts w:ascii="Courier New" w:hAnsi="Courier New" w:cs="Courier New"/>
              </w:rPr>
              <w:t>____________________________________________________</w:t>
            </w:r>
          </w:p>
          <w:p w:rsidR="00ED5ED7" w:rsidRPr="009E70D8" w:rsidRDefault="00ED5ED7" w:rsidP="008A7D9B">
            <w:pPr>
              <w:spacing w:before="120" w:after="120"/>
              <w:rPr>
                <w:rFonts w:ascii="Courier New" w:hAnsi="Courier New" w:cs="Courier New"/>
              </w:rPr>
            </w:pPr>
            <w:r w:rsidRPr="009E70D8">
              <w:rPr>
                <w:rFonts w:ascii="Courier New" w:hAnsi="Courier New" w:cs="Courier New"/>
                <w:b/>
              </w:rPr>
              <w:t>UBRRL = 0x</w:t>
            </w:r>
            <w:r w:rsidRPr="00A658B5">
              <w:rPr>
                <w:rFonts w:ascii="Courier New" w:hAnsi="Courier New" w:cs="Courier New"/>
              </w:rPr>
              <w:t>______________</w:t>
            </w:r>
            <w:r w:rsidRPr="009E70D8">
              <w:rPr>
                <w:rFonts w:ascii="Courier New" w:hAnsi="Courier New" w:cs="Courier New"/>
                <w:b/>
              </w:rPr>
              <w:t>;</w:t>
            </w:r>
          </w:p>
        </w:tc>
      </w:tr>
    </w:tbl>
    <w:p w:rsidR="00ED5ED7" w:rsidRDefault="00ED5ED7" w:rsidP="00504C96">
      <w:pPr>
        <w:pStyle w:val="Paragraphedeliste"/>
        <w:numPr>
          <w:ilvl w:val="0"/>
          <w:numId w:val="3"/>
        </w:numPr>
        <w:spacing w:before="120" w:after="0"/>
        <w:ind w:left="851" w:hanging="494"/>
      </w:pPr>
      <w:r>
        <w:t>D’après la valeur affectée au registre UCSRB, complétez le tableau suivant :</w:t>
      </w:r>
    </w:p>
    <w:tbl>
      <w:tblPr>
        <w:tblStyle w:val="Grilledutableau"/>
        <w:tblW w:w="0" w:type="auto"/>
        <w:tblInd w:w="959" w:type="dxa"/>
        <w:tblLook w:val="04A0"/>
      </w:tblPr>
      <w:tblGrid>
        <w:gridCol w:w="1253"/>
        <w:gridCol w:w="1254"/>
        <w:gridCol w:w="1253"/>
        <w:gridCol w:w="1254"/>
        <w:gridCol w:w="1254"/>
        <w:gridCol w:w="1253"/>
        <w:gridCol w:w="1254"/>
        <w:gridCol w:w="1254"/>
      </w:tblGrid>
      <w:tr w:rsidR="00ED5ED7" w:rsidRPr="00E9447A" w:rsidTr="008A7D9B">
        <w:tc>
          <w:tcPr>
            <w:tcW w:w="1253" w:type="dxa"/>
            <w:shd w:val="clear" w:color="auto" w:fill="BFBFBF" w:themeFill="background1" w:themeFillShade="BF"/>
          </w:tcPr>
          <w:p w:rsidR="00ED5ED7" w:rsidRPr="00E9447A" w:rsidRDefault="00ED5ED7" w:rsidP="008A7D9B">
            <w:pPr>
              <w:spacing w:before="120" w:after="120"/>
              <w:jc w:val="center"/>
              <w:rPr>
                <w:b/>
              </w:rPr>
            </w:pPr>
            <w:r>
              <w:rPr>
                <w:b/>
              </w:rPr>
              <w:t>RXCIE</w:t>
            </w:r>
          </w:p>
        </w:tc>
        <w:tc>
          <w:tcPr>
            <w:tcW w:w="1254" w:type="dxa"/>
            <w:shd w:val="clear" w:color="auto" w:fill="BFBFBF" w:themeFill="background1" w:themeFillShade="BF"/>
          </w:tcPr>
          <w:p w:rsidR="00ED5ED7" w:rsidRPr="00E9447A" w:rsidRDefault="00ED5ED7" w:rsidP="008A7D9B">
            <w:pPr>
              <w:spacing w:before="120" w:after="120"/>
              <w:jc w:val="center"/>
              <w:rPr>
                <w:b/>
              </w:rPr>
            </w:pPr>
            <w:r>
              <w:rPr>
                <w:b/>
              </w:rPr>
              <w:t>TXCIE</w:t>
            </w:r>
          </w:p>
        </w:tc>
        <w:tc>
          <w:tcPr>
            <w:tcW w:w="1253" w:type="dxa"/>
            <w:shd w:val="clear" w:color="auto" w:fill="BFBFBF" w:themeFill="background1" w:themeFillShade="BF"/>
          </w:tcPr>
          <w:p w:rsidR="00ED5ED7" w:rsidRPr="00E9447A" w:rsidRDefault="00ED5ED7" w:rsidP="008A7D9B">
            <w:pPr>
              <w:spacing w:before="120" w:after="120"/>
              <w:jc w:val="center"/>
              <w:rPr>
                <w:b/>
              </w:rPr>
            </w:pPr>
            <w:r>
              <w:rPr>
                <w:b/>
              </w:rPr>
              <w:t>UDRIE</w:t>
            </w:r>
          </w:p>
        </w:tc>
        <w:tc>
          <w:tcPr>
            <w:tcW w:w="1254" w:type="dxa"/>
            <w:shd w:val="clear" w:color="auto" w:fill="BFBFBF" w:themeFill="background1" w:themeFillShade="BF"/>
          </w:tcPr>
          <w:p w:rsidR="00ED5ED7" w:rsidRPr="00E9447A" w:rsidRDefault="00ED5ED7" w:rsidP="008A7D9B">
            <w:pPr>
              <w:spacing w:before="120" w:after="120"/>
              <w:jc w:val="center"/>
              <w:rPr>
                <w:b/>
              </w:rPr>
            </w:pPr>
            <w:r>
              <w:rPr>
                <w:b/>
              </w:rPr>
              <w:t>RXEN</w:t>
            </w:r>
          </w:p>
        </w:tc>
        <w:tc>
          <w:tcPr>
            <w:tcW w:w="1254" w:type="dxa"/>
            <w:shd w:val="clear" w:color="auto" w:fill="BFBFBF" w:themeFill="background1" w:themeFillShade="BF"/>
          </w:tcPr>
          <w:p w:rsidR="00ED5ED7" w:rsidRPr="00E9447A" w:rsidRDefault="00ED5ED7" w:rsidP="008A7D9B">
            <w:pPr>
              <w:spacing w:before="120" w:after="120"/>
              <w:jc w:val="center"/>
              <w:rPr>
                <w:b/>
              </w:rPr>
            </w:pPr>
            <w:r>
              <w:rPr>
                <w:b/>
              </w:rPr>
              <w:t>TXEN</w:t>
            </w:r>
          </w:p>
        </w:tc>
        <w:tc>
          <w:tcPr>
            <w:tcW w:w="1253" w:type="dxa"/>
            <w:shd w:val="clear" w:color="auto" w:fill="BFBFBF" w:themeFill="background1" w:themeFillShade="BF"/>
          </w:tcPr>
          <w:p w:rsidR="00ED5ED7" w:rsidRPr="00E9447A" w:rsidRDefault="00ED5ED7" w:rsidP="008A7D9B">
            <w:pPr>
              <w:spacing w:before="120" w:after="120"/>
              <w:jc w:val="center"/>
              <w:rPr>
                <w:b/>
              </w:rPr>
            </w:pPr>
            <w:r>
              <w:rPr>
                <w:b/>
              </w:rPr>
              <w:t>UCSZ2</w:t>
            </w:r>
          </w:p>
        </w:tc>
        <w:tc>
          <w:tcPr>
            <w:tcW w:w="1254" w:type="dxa"/>
            <w:shd w:val="clear" w:color="auto" w:fill="BFBFBF" w:themeFill="background1" w:themeFillShade="BF"/>
          </w:tcPr>
          <w:p w:rsidR="00ED5ED7" w:rsidRPr="00E9447A" w:rsidRDefault="00ED5ED7" w:rsidP="008A7D9B">
            <w:pPr>
              <w:spacing w:before="120" w:after="120"/>
              <w:jc w:val="center"/>
              <w:rPr>
                <w:b/>
              </w:rPr>
            </w:pPr>
            <w:r>
              <w:rPr>
                <w:b/>
              </w:rPr>
              <w:t>RXB8</w:t>
            </w:r>
          </w:p>
        </w:tc>
        <w:tc>
          <w:tcPr>
            <w:tcW w:w="1254" w:type="dxa"/>
            <w:shd w:val="clear" w:color="auto" w:fill="BFBFBF" w:themeFill="background1" w:themeFillShade="BF"/>
          </w:tcPr>
          <w:p w:rsidR="00ED5ED7" w:rsidRPr="00E9447A" w:rsidRDefault="00ED5ED7" w:rsidP="008A7D9B">
            <w:pPr>
              <w:spacing w:before="120" w:after="120"/>
              <w:jc w:val="center"/>
              <w:rPr>
                <w:b/>
              </w:rPr>
            </w:pPr>
            <w:r>
              <w:rPr>
                <w:b/>
              </w:rPr>
              <w:t>TXB8</w:t>
            </w:r>
          </w:p>
        </w:tc>
      </w:tr>
      <w:tr w:rsidR="00ED5ED7" w:rsidTr="008A7D9B">
        <w:tc>
          <w:tcPr>
            <w:tcW w:w="1253" w:type="dxa"/>
          </w:tcPr>
          <w:p w:rsidR="00ED5ED7" w:rsidRDefault="00ED5ED7" w:rsidP="008A7D9B">
            <w:pPr>
              <w:spacing w:before="120" w:after="120"/>
            </w:pPr>
          </w:p>
        </w:tc>
        <w:tc>
          <w:tcPr>
            <w:tcW w:w="1254" w:type="dxa"/>
          </w:tcPr>
          <w:p w:rsidR="00ED5ED7" w:rsidRDefault="00ED5ED7" w:rsidP="008A7D9B">
            <w:pPr>
              <w:spacing w:before="120" w:after="120"/>
            </w:pPr>
          </w:p>
        </w:tc>
        <w:tc>
          <w:tcPr>
            <w:tcW w:w="1253" w:type="dxa"/>
          </w:tcPr>
          <w:p w:rsidR="00ED5ED7" w:rsidRDefault="00ED5ED7" w:rsidP="008A7D9B">
            <w:pPr>
              <w:spacing w:before="120" w:after="120"/>
            </w:pPr>
          </w:p>
        </w:tc>
        <w:tc>
          <w:tcPr>
            <w:tcW w:w="1254" w:type="dxa"/>
          </w:tcPr>
          <w:p w:rsidR="00ED5ED7" w:rsidRDefault="00ED5ED7" w:rsidP="008A7D9B">
            <w:pPr>
              <w:spacing w:before="120" w:after="120"/>
            </w:pPr>
          </w:p>
        </w:tc>
        <w:tc>
          <w:tcPr>
            <w:tcW w:w="1254" w:type="dxa"/>
          </w:tcPr>
          <w:p w:rsidR="00ED5ED7" w:rsidRDefault="00ED5ED7" w:rsidP="008A7D9B">
            <w:pPr>
              <w:spacing w:before="120" w:after="120"/>
            </w:pPr>
          </w:p>
        </w:tc>
        <w:tc>
          <w:tcPr>
            <w:tcW w:w="1253" w:type="dxa"/>
          </w:tcPr>
          <w:p w:rsidR="00ED5ED7" w:rsidRDefault="00ED5ED7" w:rsidP="008A7D9B">
            <w:pPr>
              <w:spacing w:before="120" w:after="120"/>
            </w:pPr>
          </w:p>
        </w:tc>
        <w:tc>
          <w:tcPr>
            <w:tcW w:w="1254" w:type="dxa"/>
          </w:tcPr>
          <w:p w:rsidR="00ED5ED7" w:rsidRDefault="00ED5ED7" w:rsidP="008A7D9B">
            <w:pPr>
              <w:spacing w:before="120" w:after="120"/>
            </w:pPr>
          </w:p>
        </w:tc>
        <w:tc>
          <w:tcPr>
            <w:tcW w:w="1254" w:type="dxa"/>
          </w:tcPr>
          <w:p w:rsidR="00ED5ED7" w:rsidRDefault="00ED5ED7" w:rsidP="008A7D9B">
            <w:pPr>
              <w:spacing w:before="120" w:after="120"/>
            </w:pPr>
          </w:p>
        </w:tc>
      </w:tr>
    </w:tbl>
    <w:p w:rsidR="00ED5ED7" w:rsidRDefault="00ED5ED7" w:rsidP="00504C96">
      <w:pPr>
        <w:pStyle w:val="Paragraphedeliste"/>
        <w:numPr>
          <w:ilvl w:val="0"/>
          <w:numId w:val="3"/>
        </w:numPr>
        <w:spacing w:before="120" w:after="0"/>
        <w:ind w:left="851" w:hanging="494"/>
      </w:pPr>
      <w:r>
        <w:t>indiquez à quels bits correspondent les commentaires suivants :</w:t>
      </w:r>
    </w:p>
    <w:tbl>
      <w:tblPr>
        <w:tblStyle w:val="Grilledutableau"/>
        <w:tblW w:w="0" w:type="auto"/>
        <w:tblInd w:w="817" w:type="dxa"/>
        <w:tblLook w:val="04A0"/>
      </w:tblPr>
      <w:tblGrid>
        <w:gridCol w:w="5085"/>
        <w:gridCol w:w="5086"/>
      </w:tblGrid>
      <w:tr w:rsidR="00ED5ED7" w:rsidTr="008A7D9B">
        <w:trPr>
          <w:trHeight w:val="311"/>
        </w:trPr>
        <w:tc>
          <w:tcPr>
            <w:tcW w:w="5085" w:type="dxa"/>
          </w:tcPr>
          <w:p w:rsidR="00ED5ED7" w:rsidRPr="009E70D8" w:rsidRDefault="00ED5ED7" w:rsidP="008A7D9B">
            <w:pPr>
              <w:spacing w:before="120" w:after="120"/>
              <w:rPr>
                <w:rFonts w:ascii="Courier New" w:hAnsi="Courier New" w:cs="Courier New"/>
                <w:b/>
              </w:rPr>
            </w:pPr>
            <w:r w:rsidRPr="009E70D8">
              <w:rPr>
                <w:rFonts w:ascii="Courier New" w:hAnsi="Courier New" w:cs="Courier New"/>
                <w:b/>
              </w:rPr>
              <w:t xml:space="preserve">// USART </w:t>
            </w:r>
            <w:proofErr w:type="spellStart"/>
            <w:r w:rsidRPr="009E70D8">
              <w:rPr>
                <w:rFonts w:ascii="Courier New" w:hAnsi="Courier New" w:cs="Courier New"/>
                <w:b/>
              </w:rPr>
              <w:t>Receiver</w:t>
            </w:r>
            <w:proofErr w:type="spellEnd"/>
            <w:r w:rsidRPr="009E70D8">
              <w:rPr>
                <w:rFonts w:ascii="Courier New" w:hAnsi="Courier New" w:cs="Courier New"/>
                <w:b/>
              </w:rPr>
              <w:t>: On</w:t>
            </w:r>
          </w:p>
        </w:tc>
        <w:tc>
          <w:tcPr>
            <w:tcW w:w="5086" w:type="dxa"/>
          </w:tcPr>
          <w:p w:rsidR="00ED5ED7" w:rsidRPr="009E70D8" w:rsidRDefault="00ED5ED7" w:rsidP="008A7D9B">
            <w:pPr>
              <w:spacing w:before="120" w:after="120"/>
              <w:rPr>
                <w:rFonts w:cs="Courier New"/>
              </w:rPr>
            </w:pPr>
            <w:r w:rsidRPr="009E70D8">
              <w:rPr>
                <w:rFonts w:cs="Courier New"/>
              </w:rPr>
              <w:t>bit _</w:t>
            </w:r>
            <w:r>
              <w:rPr>
                <w:rFonts w:cs="Courier New"/>
              </w:rPr>
              <w:t>___</w:t>
            </w:r>
            <w:r w:rsidRPr="009E70D8">
              <w:rPr>
                <w:rFonts w:cs="Courier New"/>
              </w:rPr>
              <w:t xml:space="preserve">________ </w:t>
            </w:r>
            <w:proofErr w:type="gramStart"/>
            <w:r w:rsidRPr="009E70D8">
              <w:rPr>
                <w:rFonts w:cs="Courier New"/>
              </w:rPr>
              <w:t>de UCSRB</w:t>
            </w:r>
            <w:proofErr w:type="gramEnd"/>
          </w:p>
        </w:tc>
      </w:tr>
      <w:tr w:rsidR="00ED5ED7" w:rsidTr="008A7D9B">
        <w:trPr>
          <w:trHeight w:val="310"/>
        </w:trPr>
        <w:tc>
          <w:tcPr>
            <w:tcW w:w="5085" w:type="dxa"/>
          </w:tcPr>
          <w:p w:rsidR="00ED5ED7" w:rsidRPr="009E70D8" w:rsidRDefault="00ED5ED7" w:rsidP="008A7D9B">
            <w:pPr>
              <w:spacing w:before="120" w:after="120"/>
              <w:rPr>
                <w:rFonts w:ascii="Courier New" w:hAnsi="Courier New" w:cs="Courier New"/>
                <w:b/>
              </w:rPr>
            </w:pPr>
            <w:r w:rsidRPr="009E70D8">
              <w:rPr>
                <w:rFonts w:ascii="Courier New" w:hAnsi="Courier New" w:cs="Courier New"/>
                <w:b/>
              </w:rPr>
              <w:t xml:space="preserve">// USART </w:t>
            </w:r>
            <w:proofErr w:type="spellStart"/>
            <w:r w:rsidRPr="009E70D8">
              <w:rPr>
                <w:rFonts w:ascii="Courier New" w:hAnsi="Courier New" w:cs="Courier New"/>
                <w:b/>
              </w:rPr>
              <w:t>Transmitter</w:t>
            </w:r>
            <w:proofErr w:type="spellEnd"/>
            <w:r w:rsidRPr="009E70D8">
              <w:rPr>
                <w:rFonts w:ascii="Courier New" w:hAnsi="Courier New" w:cs="Courier New"/>
                <w:b/>
              </w:rPr>
              <w:t>: On</w:t>
            </w:r>
          </w:p>
        </w:tc>
        <w:tc>
          <w:tcPr>
            <w:tcW w:w="5086" w:type="dxa"/>
          </w:tcPr>
          <w:p w:rsidR="00ED5ED7" w:rsidRPr="009E70D8" w:rsidRDefault="00ED5ED7" w:rsidP="008A7D9B">
            <w:pPr>
              <w:spacing w:before="120" w:after="120"/>
              <w:rPr>
                <w:rFonts w:cs="Courier New"/>
              </w:rPr>
            </w:pPr>
            <w:r w:rsidRPr="009E70D8">
              <w:rPr>
                <w:rFonts w:cs="Courier New"/>
              </w:rPr>
              <w:t>bit __</w:t>
            </w:r>
            <w:r>
              <w:rPr>
                <w:rFonts w:cs="Courier New"/>
              </w:rPr>
              <w:t>___</w:t>
            </w:r>
            <w:r w:rsidRPr="009E70D8">
              <w:rPr>
                <w:rFonts w:cs="Courier New"/>
              </w:rPr>
              <w:t xml:space="preserve">_______ </w:t>
            </w:r>
            <w:proofErr w:type="gramStart"/>
            <w:r w:rsidRPr="009E70D8">
              <w:rPr>
                <w:rFonts w:cs="Courier New"/>
              </w:rPr>
              <w:t>de UCSRB</w:t>
            </w:r>
            <w:proofErr w:type="gramEnd"/>
          </w:p>
        </w:tc>
      </w:tr>
    </w:tbl>
    <w:p w:rsidR="00ED5ED7" w:rsidRDefault="00ED5ED7" w:rsidP="00504C96">
      <w:pPr>
        <w:pStyle w:val="Paragraphedeliste"/>
        <w:numPr>
          <w:ilvl w:val="0"/>
          <w:numId w:val="3"/>
        </w:numPr>
        <w:spacing w:before="120" w:after="0"/>
        <w:ind w:left="851" w:hanging="494"/>
      </w:pPr>
      <w:r>
        <w:t>D’après la valeur affectée au registre UCSRC, complétez le tableau suivant :</w:t>
      </w:r>
    </w:p>
    <w:tbl>
      <w:tblPr>
        <w:tblStyle w:val="Grilledutableau"/>
        <w:tblW w:w="0" w:type="auto"/>
        <w:tblInd w:w="959" w:type="dxa"/>
        <w:tblLook w:val="04A0"/>
      </w:tblPr>
      <w:tblGrid>
        <w:gridCol w:w="1253"/>
        <w:gridCol w:w="1254"/>
        <w:gridCol w:w="1253"/>
        <w:gridCol w:w="1254"/>
        <w:gridCol w:w="1254"/>
        <w:gridCol w:w="1253"/>
        <w:gridCol w:w="1254"/>
        <w:gridCol w:w="1254"/>
      </w:tblGrid>
      <w:tr w:rsidR="00ED5ED7" w:rsidRPr="00E9447A" w:rsidTr="008A7D9B">
        <w:tc>
          <w:tcPr>
            <w:tcW w:w="1253" w:type="dxa"/>
            <w:shd w:val="clear" w:color="auto" w:fill="BFBFBF" w:themeFill="background1" w:themeFillShade="BF"/>
          </w:tcPr>
          <w:p w:rsidR="00ED5ED7" w:rsidRPr="00E9447A" w:rsidRDefault="00ED5ED7" w:rsidP="008A7D9B">
            <w:pPr>
              <w:spacing w:before="120" w:after="120"/>
              <w:jc w:val="center"/>
              <w:rPr>
                <w:b/>
              </w:rPr>
            </w:pPr>
            <w:r w:rsidRPr="00E9447A">
              <w:rPr>
                <w:b/>
              </w:rPr>
              <w:t>URSEL</w:t>
            </w:r>
          </w:p>
        </w:tc>
        <w:tc>
          <w:tcPr>
            <w:tcW w:w="1254" w:type="dxa"/>
            <w:shd w:val="clear" w:color="auto" w:fill="BFBFBF" w:themeFill="background1" w:themeFillShade="BF"/>
          </w:tcPr>
          <w:p w:rsidR="00ED5ED7" w:rsidRPr="00E9447A" w:rsidRDefault="00ED5ED7" w:rsidP="008A7D9B">
            <w:pPr>
              <w:spacing w:before="120" w:after="120"/>
              <w:jc w:val="center"/>
              <w:rPr>
                <w:b/>
              </w:rPr>
            </w:pPr>
            <w:r w:rsidRPr="00E9447A">
              <w:rPr>
                <w:b/>
              </w:rPr>
              <w:t>UMSEL</w:t>
            </w:r>
          </w:p>
        </w:tc>
        <w:tc>
          <w:tcPr>
            <w:tcW w:w="1253" w:type="dxa"/>
            <w:shd w:val="clear" w:color="auto" w:fill="BFBFBF" w:themeFill="background1" w:themeFillShade="BF"/>
          </w:tcPr>
          <w:p w:rsidR="00ED5ED7" w:rsidRPr="00E9447A" w:rsidRDefault="00ED5ED7" w:rsidP="008A7D9B">
            <w:pPr>
              <w:spacing w:before="120" w:after="120"/>
              <w:jc w:val="center"/>
              <w:rPr>
                <w:b/>
              </w:rPr>
            </w:pPr>
            <w:r w:rsidRPr="00E9447A">
              <w:rPr>
                <w:b/>
              </w:rPr>
              <w:t>UPM1</w:t>
            </w:r>
          </w:p>
        </w:tc>
        <w:tc>
          <w:tcPr>
            <w:tcW w:w="1254" w:type="dxa"/>
            <w:shd w:val="clear" w:color="auto" w:fill="BFBFBF" w:themeFill="background1" w:themeFillShade="BF"/>
          </w:tcPr>
          <w:p w:rsidR="00ED5ED7" w:rsidRPr="00E9447A" w:rsidRDefault="00ED5ED7" w:rsidP="008A7D9B">
            <w:pPr>
              <w:spacing w:before="120" w:after="120"/>
              <w:jc w:val="center"/>
              <w:rPr>
                <w:b/>
              </w:rPr>
            </w:pPr>
            <w:r w:rsidRPr="00E9447A">
              <w:rPr>
                <w:b/>
              </w:rPr>
              <w:t>UPM0</w:t>
            </w:r>
          </w:p>
        </w:tc>
        <w:tc>
          <w:tcPr>
            <w:tcW w:w="1254" w:type="dxa"/>
            <w:shd w:val="clear" w:color="auto" w:fill="BFBFBF" w:themeFill="background1" w:themeFillShade="BF"/>
          </w:tcPr>
          <w:p w:rsidR="00ED5ED7" w:rsidRPr="00E9447A" w:rsidRDefault="00ED5ED7" w:rsidP="008A7D9B">
            <w:pPr>
              <w:spacing w:before="120" w:after="120"/>
              <w:jc w:val="center"/>
              <w:rPr>
                <w:b/>
              </w:rPr>
            </w:pPr>
            <w:r w:rsidRPr="00E9447A">
              <w:rPr>
                <w:b/>
              </w:rPr>
              <w:t>USBS</w:t>
            </w:r>
          </w:p>
        </w:tc>
        <w:tc>
          <w:tcPr>
            <w:tcW w:w="1253" w:type="dxa"/>
            <w:shd w:val="clear" w:color="auto" w:fill="BFBFBF" w:themeFill="background1" w:themeFillShade="BF"/>
          </w:tcPr>
          <w:p w:rsidR="00ED5ED7" w:rsidRPr="00E9447A" w:rsidRDefault="00ED5ED7" w:rsidP="008A7D9B">
            <w:pPr>
              <w:spacing w:before="120" w:after="120"/>
              <w:jc w:val="center"/>
              <w:rPr>
                <w:b/>
              </w:rPr>
            </w:pPr>
            <w:r w:rsidRPr="00E9447A">
              <w:rPr>
                <w:b/>
              </w:rPr>
              <w:t>UCSZ1</w:t>
            </w:r>
          </w:p>
        </w:tc>
        <w:tc>
          <w:tcPr>
            <w:tcW w:w="1254" w:type="dxa"/>
            <w:shd w:val="clear" w:color="auto" w:fill="BFBFBF" w:themeFill="background1" w:themeFillShade="BF"/>
          </w:tcPr>
          <w:p w:rsidR="00ED5ED7" w:rsidRPr="00E9447A" w:rsidRDefault="00ED5ED7" w:rsidP="008A7D9B">
            <w:pPr>
              <w:spacing w:before="120" w:after="120"/>
              <w:jc w:val="center"/>
              <w:rPr>
                <w:b/>
              </w:rPr>
            </w:pPr>
            <w:r w:rsidRPr="00E9447A">
              <w:rPr>
                <w:b/>
              </w:rPr>
              <w:t>UCSZ0</w:t>
            </w:r>
          </w:p>
        </w:tc>
        <w:tc>
          <w:tcPr>
            <w:tcW w:w="1254" w:type="dxa"/>
            <w:shd w:val="clear" w:color="auto" w:fill="BFBFBF" w:themeFill="background1" w:themeFillShade="BF"/>
          </w:tcPr>
          <w:p w:rsidR="00ED5ED7" w:rsidRPr="00E9447A" w:rsidRDefault="00ED5ED7" w:rsidP="008A7D9B">
            <w:pPr>
              <w:spacing w:before="120" w:after="120"/>
              <w:jc w:val="center"/>
              <w:rPr>
                <w:b/>
              </w:rPr>
            </w:pPr>
            <w:r w:rsidRPr="00E9447A">
              <w:rPr>
                <w:b/>
              </w:rPr>
              <w:t>UCPOL</w:t>
            </w:r>
          </w:p>
        </w:tc>
      </w:tr>
      <w:tr w:rsidR="00ED5ED7" w:rsidTr="008A7D9B">
        <w:tc>
          <w:tcPr>
            <w:tcW w:w="1253" w:type="dxa"/>
          </w:tcPr>
          <w:p w:rsidR="00ED5ED7" w:rsidRDefault="00ED5ED7" w:rsidP="008A7D9B">
            <w:pPr>
              <w:spacing w:before="120" w:after="120"/>
            </w:pPr>
          </w:p>
        </w:tc>
        <w:tc>
          <w:tcPr>
            <w:tcW w:w="1254" w:type="dxa"/>
          </w:tcPr>
          <w:p w:rsidR="00ED5ED7" w:rsidRDefault="00ED5ED7" w:rsidP="008A7D9B">
            <w:pPr>
              <w:spacing w:before="120" w:after="120"/>
            </w:pPr>
          </w:p>
        </w:tc>
        <w:tc>
          <w:tcPr>
            <w:tcW w:w="1253" w:type="dxa"/>
          </w:tcPr>
          <w:p w:rsidR="00ED5ED7" w:rsidRDefault="00ED5ED7" w:rsidP="008A7D9B">
            <w:pPr>
              <w:spacing w:before="120" w:after="120"/>
            </w:pPr>
          </w:p>
        </w:tc>
        <w:tc>
          <w:tcPr>
            <w:tcW w:w="1254" w:type="dxa"/>
          </w:tcPr>
          <w:p w:rsidR="00ED5ED7" w:rsidRDefault="00ED5ED7" w:rsidP="008A7D9B">
            <w:pPr>
              <w:spacing w:before="120" w:after="120"/>
            </w:pPr>
          </w:p>
        </w:tc>
        <w:tc>
          <w:tcPr>
            <w:tcW w:w="1254" w:type="dxa"/>
          </w:tcPr>
          <w:p w:rsidR="00ED5ED7" w:rsidRDefault="00ED5ED7" w:rsidP="008A7D9B">
            <w:pPr>
              <w:spacing w:before="120" w:after="120"/>
            </w:pPr>
          </w:p>
        </w:tc>
        <w:tc>
          <w:tcPr>
            <w:tcW w:w="1253" w:type="dxa"/>
          </w:tcPr>
          <w:p w:rsidR="00ED5ED7" w:rsidRDefault="00ED5ED7" w:rsidP="008A7D9B">
            <w:pPr>
              <w:spacing w:before="120" w:after="120"/>
            </w:pPr>
          </w:p>
        </w:tc>
        <w:tc>
          <w:tcPr>
            <w:tcW w:w="1254" w:type="dxa"/>
          </w:tcPr>
          <w:p w:rsidR="00ED5ED7" w:rsidRDefault="00ED5ED7" w:rsidP="008A7D9B">
            <w:pPr>
              <w:spacing w:before="120" w:after="120"/>
            </w:pPr>
          </w:p>
        </w:tc>
        <w:tc>
          <w:tcPr>
            <w:tcW w:w="1254" w:type="dxa"/>
          </w:tcPr>
          <w:p w:rsidR="00ED5ED7" w:rsidRDefault="00ED5ED7" w:rsidP="008A7D9B">
            <w:pPr>
              <w:spacing w:before="120" w:after="120"/>
            </w:pPr>
          </w:p>
        </w:tc>
      </w:tr>
    </w:tbl>
    <w:p w:rsidR="00ED5ED7" w:rsidRDefault="00ED5ED7" w:rsidP="00504C96">
      <w:pPr>
        <w:pStyle w:val="Paragraphedeliste"/>
        <w:numPr>
          <w:ilvl w:val="0"/>
          <w:numId w:val="3"/>
        </w:numPr>
        <w:spacing w:before="120" w:after="0"/>
        <w:ind w:left="851" w:hanging="494"/>
      </w:pPr>
      <w:r>
        <w:t xml:space="preserve">En déduire quels </w:t>
      </w:r>
      <w:proofErr w:type="gramStart"/>
      <w:r>
        <w:t>sont</w:t>
      </w:r>
      <w:proofErr w:type="gramEnd"/>
      <w:r>
        <w:t xml:space="preserve"> les paramètres de configuration de l’UART.</w:t>
      </w:r>
    </w:p>
    <w:tbl>
      <w:tblPr>
        <w:tblStyle w:val="Grilledutableau"/>
        <w:tblW w:w="0" w:type="auto"/>
        <w:tblInd w:w="817" w:type="dxa"/>
        <w:tblLook w:val="04A0"/>
      </w:tblPr>
      <w:tblGrid>
        <w:gridCol w:w="2410"/>
        <w:gridCol w:w="3544"/>
        <w:gridCol w:w="4217"/>
      </w:tblGrid>
      <w:tr w:rsidR="00ED5ED7" w:rsidTr="008A7D9B">
        <w:tc>
          <w:tcPr>
            <w:tcW w:w="2410" w:type="dxa"/>
            <w:shd w:val="clear" w:color="auto" w:fill="BFBFBF" w:themeFill="background1" w:themeFillShade="BF"/>
          </w:tcPr>
          <w:p w:rsidR="00ED5ED7" w:rsidRPr="00E9447A" w:rsidRDefault="00ED5ED7" w:rsidP="008A7D9B">
            <w:pPr>
              <w:spacing w:before="120" w:after="120"/>
              <w:jc w:val="center"/>
              <w:rPr>
                <w:b/>
              </w:rPr>
            </w:pPr>
            <w:r w:rsidRPr="00E9447A">
              <w:rPr>
                <w:b/>
              </w:rPr>
              <w:t>Paramètre</w:t>
            </w:r>
            <w:r>
              <w:rPr>
                <w:b/>
              </w:rPr>
              <w:t>s</w:t>
            </w:r>
          </w:p>
        </w:tc>
        <w:tc>
          <w:tcPr>
            <w:tcW w:w="3544" w:type="dxa"/>
            <w:shd w:val="clear" w:color="auto" w:fill="BFBFBF" w:themeFill="background1" w:themeFillShade="BF"/>
          </w:tcPr>
          <w:p w:rsidR="00ED5ED7" w:rsidRPr="00E9447A" w:rsidRDefault="00ED5ED7" w:rsidP="008A7D9B">
            <w:pPr>
              <w:spacing w:before="120" w:after="120"/>
              <w:jc w:val="center"/>
              <w:rPr>
                <w:b/>
              </w:rPr>
            </w:pPr>
            <w:r w:rsidRPr="00E9447A">
              <w:rPr>
                <w:b/>
              </w:rPr>
              <w:t>Bit(s) des registre</w:t>
            </w:r>
            <w:r>
              <w:rPr>
                <w:b/>
              </w:rPr>
              <w:t>s</w:t>
            </w:r>
            <w:r w:rsidRPr="00E9447A">
              <w:rPr>
                <w:b/>
              </w:rPr>
              <w:t xml:space="preserve"> UCSRC ou UCSRB</w:t>
            </w:r>
          </w:p>
        </w:tc>
        <w:tc>
          <w:tcPr>
            <w:tcW w:w="4217" w:type="dxa"/>
            <w:shd w:val="clear" w:color="auto" w:fill="BFBFBF" w:themeFill="background1" w:themeFillShade="BF"/>
          </w:tcPr>
          <w:p w:rsidR="00ED5ED7" w:rsidRPr="00E9447A" w:rsidRDefault="00ED5ED7" w:rsidP="008A7D9B">
            <w:pPr>
              <w:spacing w:before="120" w:after="120"/>
              <w:jc w:val="center"/>
              <w:rPr>
                <w:b/>
              </w:rPr>
            </w:pPr>
            <w:r w:rsidRPr="00E9447A">
              <w:rPr>
                <w:b/>
              </w:rPr>
              <w:t>Configuration</w:t>
            </w:r>
          </w:p>
        </w:tc>
      </w:tr>
      <w:tr w:rsidR="00ED5ED7" w:rsidTr="008A7D9B">
        <w:tc>
          <w:tcPr>
            <w:tcW w:w="2410" w:type="dxa"/>
            <w:shd w:val="clear" w:color="auto" w:fill="BFBFBF" w:themeFill="background1" w:themeFillShade="BF"/>
          </w:tcPr>
          <w:p w:rsidR="00ED5ED7" w:rsidRPr="00E9447A" w:rsidRDefault="00ED5ED7" w:rsidP="008A7D9B">
            <w:pPr>
              <w:spacing w:before="120" w:after="120"/>
              <w:rPr>
                <w:b/>
              </w:rPr>
            </w:pPr>
            <w:r w:rsidRPr="00E9447A">
              <w:rPr>
                <w:b/>
              </w:rPr>
              <w:t>Mode :</w:t>
            </w:r>
          </w:p>
        </w:tc>
        <w:tc>
          <w:tcPr>
            <w:tcW w:w="3544" w:type="dxa"/>
          </w:tcPr>
          <w:p w:rsidR="00ED5ED7" w:rsidRDefault="00ED5ED7" w:rsidP="008A7D9B">
            <w:pPr>
              <w:spacing w:before="120" w:after="120"/>
            </w:pPr>
          </w:p>
        </w:tc>
        <w:tc>
          <w:tcPr>
            <w:tcW w:w="4217" w:type="dxa"/>
          </w:tcPr>
          <w:p w:rsidR="00ED5ED7" w:rsidRDefault="00ED5ED7" w:rsidP="008A7D9B">
            <w:pPr>
              <w:spacing w:before="120" w:after="120"/>
            </w:pPr>
          </w:p>
        </w:tc>
      </w:tr>
      <w:tr w:rsidR="00ED5ED7" w:rsidTr="008A7D9B">
        <w:tc>
          <w:tcPr>
            <w:tcW w:w="2410" w:type="dxa"/>
            <w:shd w:val="clear" w:color="auto" w:fill="BFBFBF" w:themeFill="background1" w:themeFillShade="BF"/>
          </w:tcPr>
          <w:p w:rsidR="00ED5ED7" w:rsidRPr="00E9447A" w:rsidRDefault="00ED5ED7" w:rsidP="008A7D9B">
            <w:pPr>
              <w:spacing w:before="120" w:after="120"/>
              <w:rPr>
                <w:b/>
              </w:rPr>
            </w:pPr>
            <w:r w:rsidRPr="00E9447A">
              <w:rPr>
                <w:b/>
              </w:rPr>
              <w:t>Parité :</w:t>
            </w:r>
          </w:p>
        </w:tc>
        <w:tc>
          <w:tcPr>
            <w:tcW w:w="3544" w:type="dxa"/>
          </w:tcPr>
          <w:p w:rsidR="00ED5ED7" w:rsidRDefault="00ED5ED7" w:rsidP="008A7D9B">
            <w:pPr>
              <w:spacing w:before="120" w:after="120"/>
            </w:pPr>
          </w:p>
        </w:tc>
        <w:tc>
          <w:tcPr>
            <w:tcW w:w="4217" w:type="dxa"/>
          </w:tcPr>
          <w:p w:rsidR="00ED5ED7" w:rsidRDefault="00ED5ED7" w:rsidP="008A7D9B">
            <w:pPr>
              <w:spacing w:before="120" w:after="120"/>
            </w:pPr>
          </w:p>
        </w:tc>
      </w:tr>
      <w:tr w:rsidR="00ED5ED7" w:rsidTr="008A7D9B">
        <w:tc>
          <w:tcPr>
            <w:tcW w:w="2410" w:type="dxa"/>
            <w:shd w:val="clear" w:color="auto" w:fill="BFBFBF" w:themeFill="background1" w:themeFillShade="BF"/>
          </w:tcPr>
          <w:p w:rsidR="00ED5ED7" w:rsidRPr="00E9447A" w:rsidRDefault="00ED5ED7" w:rsidP="008A7D9B">
            <w:pPr>
              <w:spacing w:before="120" w:after="120"/>
              <w:rPr>
                <w:b/>
              </w:rPr>
            </w:pPr>
            <w:r w:rsidRPr="00E9447A">
              <w:rPr>
                <w:b/>
              </w:rPr>
              <w:t>Nombre de bit de stop</w:t>
            </w:r>
          </w:p>
        </w:tc>
        <w:tc>
          <w:tcPr>
            <w:tcW w:w="3544" w:type="dxa"/>
          </w:tcPr>
          <w:p w:rsidR="00ED5ED7" w:rsidRDefault="00ED5ED7" w:rsidP="008A7D9B">
            <w:pPr>
              <w:spacing w:before="120" w:after="120"/>
            </w:pPr>
          </w:p>
        </w:tc>
        <w:tc>
          <w:tcPr>
            <w:tcW w:w="4217" w:type="dxa"/>
          </w:tcPr>
          <w:p w:rsidR="00ED5ED7" w:rsidRDefault="00ED5ED7" w:rsidP="008A7D9B">
            <w:pPr>
              <w:spacing w:before="120" w:after="120"/>
            </w:pPr>
          </w:p>
        </w:tc>
      </w:tr>
      <w:tr w:rsidR="00ED5ED7" w:rsidTr="008A7D9B">
        <w:tc>
          <w:tcPr>
            <w:tcW w:w="2410" w:type="dxa"/>
            <w:shd w:val="clear" w:color="auto" w:fill="BFBFBF" w:themeFill="background1" w:themeFillShade="BF"/>
          </w:tcPr>
          <w:p w:rsidR="00ED5ED7" w:rsidRPr="00E9447A" w:rsidRDefault="00ED5ED7" w:rsidP="008A7D9B">
            <w:pPr>
              <w:spacing w:before="120" w:after="120"/>
              <w:rPr>
                <w:b/>
              </w:rPr>
            </w:pPr>
            <w:r>
              <w:rPr>
                <w:b/>
              </w:rPr>
              <w:t>Format d’un caractère</w:t>
            </w:r>
          </w:p>
        </w:tc>
        <w:tc>
          <w:tcPr>
            <w:tcW w:w="3544" w:type="dxa"/>
          </w:tcPr>
          <w:p w:rsidR="00ED5ED7" w:rsidRDefault="00ED5ED7" w:rsidP="008A7D9B">
            <w:pPr>
              <w:spacing w:before="120" w:after="120"/>
            </w:pPr>
          </w:p>
        </w:tc>
        <w:tc>
          <w:tcPr>
            <w:tcW w:w="4217" w:type="dxa"/>
          </w:tcPr>
          <w:p w:rsidR="00ED5ED7" w:rsidRDefault="00ED5ED7" w:rsidP="008A7D9B">
            <w:pPr>
              <w:spacing w:before="120" w:after="120"/>
            </w:pPr>
          </w:p>
        </w:tc>
      </w:tr>
    </w:tbl>
    <w:p w:rsidR="00810D1B" w:rsidRDefault="00810D1B" w:rsidP="00810D1B">
      <w:pPr>
        <w:rPr>
          <w:rFonts w:asciiTheme="majorHAnsi" w:eastAsiaTheme="majorEastAsia" w:hAnsiTheme="majorHAnsi" w:cstheme="majorBidi"/>
          <w:color w:val="365F91" w:themeColor="accent1" w:themeShade="BF"/>
          <w:sz w:val="28"/>
          <w:szCs w:val="28"/>
        </w:rPr>
      </w:pPr>
    </w:p>
    <w:sectPr w:rsidR="00810D1B" w:rsidSect="00504C96">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E2598"/>
    <w:multiLevelType w:val="multilevel"/>
    <w:tmpl w:val="040C001D"/>
    <w:styleLink w:val="Question"/>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FDA4BFE"/>
    <w:multiLevelType w:val="hybridMultilevel"/>
    <w:tmpl w:val="48787CAA"/>
    <w:lvl w:ilvl="0" w:tplc="3458975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8873B4"/>
    <w:multiLevelType w:val="hybridMultilevel"/>
    <w:tmpl w:val="B624339C"/>
    <w:lvl w:ilvl="0" w:tplc="3458975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A117D9"/>
    <w:multiLevelType w:val="hybridMultilevel"/>
    <w:tmpl w:val="DB74767E"/>
    <w:lvl w:ilvl="0" w:tplc="E85005F4">
      <w:numFmt w:val="bullet"/>
      <w:lvlText w:val="•"/>
      <w:lvlJc w:val="left"/>
      <w:pPr>
        <w:ind w:left="928" w:hanging="360"/>
      </w:pPr>
      <w:rPr>
        <w:rFonts w:ascii="Calibri" w:eastAsiaTheme="minorHAnsi" w:hAnsi="Calibri" w:cstheme="minorBidi"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4">
    <w:nsid w:val="26361B6A"/>
    <w:multiLevelType w:val="hybridMultilevel"/>
    <w:tmpl w:val="F52E9A88"/>
    <w:lvl w:ilvl="0" w:tplc="3458975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604857"/>
    <w:multiLevelType w:val="hybridMultilevel"/>
    <w:tmpl w:val="06E85CF8"/>
    <w:lvl w:ilvl="0" w:tplc="E85005F4">
      <w:numFmt w:val="bullet"/>
      <w:lvlText w:val="•"/>
      <w:lvlJc w:val="left"/>
      <w:pPr>
        <w:ind w:left="1077" w:hanging="360"/>
      </w:pPr>
      <w:rPr>
        <w:rFonts w:ascii="Calibri" w:eastAsiaTheme="minorHAnsi" w:hAnsi="Calibri" w:cstheme="minorBidi"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
    <w:nsid w:val="36C90C1A"/>
    <w:multiLevelType w:val="hybridMultilevel"/>
    <w:tmpl w:val="FECCA0BA"/>
    <w:lvl w:ilvl="0" w:tplc="E85005F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991332D"/>
    <w:multiLevelType w:val="hybridMultilevel"/>
    <w:tmpl w:val="017EA2FA"/>
    <w:lvl w:ilvl="0" w:tplc="2DA6930E">
      <w:start w:val="1"/>
      <w:numFmt w:val="bullet"/>
      <w:lvlText w:val="£"/>
      <w:lvlJc w:val="left"/>
      <w:pPr>
        <w:ind w:left="720" w:hanging="360"/>
      </w:pPr>
      <w:rPr>
        <w:rFonts w:ascii="Wingdings 2" w:hAnsi="Wingdings 2" w:hint="default"/>
      </w:rPr>
    </w:lvl>
    <w:lvl w:ilvl="1" w:tplc="E85005F4">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B93410E"/>
    <w:multiLevelType w:val="hybridMultilevel"/>
    <w:tmpl w:val="545CACE8"/>
    <w:lvl w:ilvl="0" w:tplc="7F0C7EB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CB41098"/>
    <w:multiLevelType w:val="hybridMultilevel"/>
    <w:tmpl w:val="9FA85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DCE5409"/>
    <w:multiLevelType w:val="hybridMultilevel"/>
    <w:tmpl w:val="2C2023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1774580"/>
    <w:multiLevelType w:val="hybridMultilevel"/>
    <w:tmpl w:val="F6E68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1D12930"/>
    <w:multiLevelType w:val="hybridMultilevel"/>
    <w:tmpl w:val="8AB2396E"/>
    <w:lvl w:ilvl="0" w:tplc="7F0C7EB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9AA418C"/>
    <w:multiLevelType w:val="hybridMultilevel"/>
    <w:tmpl w:val="AAB2F27A"/>
    <w:lvl w:ilvl="0" w:tplc="E85005F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0EB0C9D"/>
    <w:multiLevelType w:val="hybridMultilevel"/>
    <w:tmpl w:val="180CC4D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537331A5"/>
    <w:multiLevelType w:val="hybridMultilevel"/>
    <w:tmpl w:val="78B63892"/>
    <w:lvl w:ilvl="0" w:tplc="7F0C7EB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6D73CBE"/>
    <w:multiLevelType w:val="hybridMultilevel"/>
    <w:tmpl w:val="95EC0D94"/>
    <w:lvl w:ilvl="0" w:tplc="7F0C7EB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7133ABA"/>
    <w:multiLevelType w:val="hybridMultilevel"/>
    <w:tmpl w:val="C1103766"/>
    <w:lvl w:ilvl="0" w:tplc="7F0C7EB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85F7214"/>
    <w:multiLevelType w:val="hybridMultilevel"/>
    <w:tmpl w:val="313E9454"/>
    <w:lvl w:ilvl="0" w:tplc="7F0C7EB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ACA407C"/>
    <w:multiLevelType w:val="hybridMultilevel"/>
    <w:tmpl w:val="95EC0D94"/>
    <w:lvl w:ilvl="0" w:tplc="7F0C7EB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D276981"/>
    <w:multiLevelType w:val="hybridMultilevel"/>
    <w:tmpl w:val="6E227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FBA3D04"/>
    <w:multiLevelType w:val="hybridMultilevel"/>
    <w:tmpl w:val="A34C0E6E"/>
    <w:lvl w:ilvl="0" w:tplc="2DA6930E">
      <w:start w:val="1"/>
      <w:numFmt w:val="bullet"/>
      <w:lvlText w:val="£"/>
      <w:lvlJc w:val="left"/>
      <w:pPr>
        <w:ind w:left="720" w:hanging="360"/>
      </w:pPr>
      <w:rPr>
        <w:rFonts w:ascii="Wingdings 2" w:hAnsi="Wingdings 2" w:hint="default"/>
      </w:rPr>
    </w:lvl>
    <w:lvl w:ilvl="1" w:tplc="08A4EED2">
      <w:start w:val="3"/>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25C3B4C"/>
    <w:multiLevelType w:val="hybridMultilevel"/>
    <w:tmpl w:val="10EA386A"/>
    <w:lvl w:ilvl="0" w:tplc="2DA6930E">
      <w:start w:val="1"/>
      <w:numFmt w:val="bullet"/>
      <w:lvlText w:val="£"/>
      <w:lvlJc w:val="left"/>
      <w:pPr>
        <w:ind w:left="1571" w:hanging="360"/>
      </w:pPr>
      <w:rPr>
        <w:rFonts w:ascii="Wingdings 2" w:hAnsi="Wingdings 2"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3">
    <w:nsid w:val="6544233F"/>
    <w:multiLevelType w:val="hybridMultilevel"/>
    <w:tmpl w:val="B9048190"/>
    <w:lvl w:ilvl="0" w:tplc="7F0C7EB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54C5B63"/>
    <w:multiLevelType w:val="hybridMultilevel"/>
    <w:tmpl w:val="4232C7CC"/>
    <w:lvl w:ilvl="0" w:tplc="7F0C7EB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5943CD5"/>
    <w:multiLevelType w:val="multilevel"/>
    <w:tmpl w:val="20B2C06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nsid w:val="663A1887"/>
    <w:multiLevelType w:val="hybridMultilevel"/>
    <w:tmpl w:val="4A4CB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44B3060"/>
    <w:multiLevelType w:val="hybridMultilevel"/>
    <w:tmpl w:val="FC16714A"/>
    <w:lvl w:ilvl="0" w:tplc="E85005F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8"/>
  </w:num>
  <w:num w:numId="4">
    <w:abstractNumId w:val="12"/>
  </w:num>
  <w:num w:numId="5">
    <w:abstractNumId w:val="23"/>
  </w:num>
  <w:num w:numId="6">
    <w:abstractNumId w:val="14"/>
  </w:num>
  <w:num w:numId="7">
    <w:abstractNumId w:val="17"/>
  </w:num>
  <w:num w:numId="8">
    <w:abstractNumId w:val="8"/>
  </w:num>
  <w:num w:numId="9">
    <w:abstractNumId w:val="20"/>
  </w:num>
  <w:num w:numId="10">
    <w:abstractNumId w:val="2"/>
  </w:num>
  <w:num w:numId="11">
    <w:abstractNumId w:val="4"/>
  </w:num>
  <w:num w:numId="12">
    <w:abstractNumId w:val="1"/>
  </w:num>
  <w:num w:numId="13">
    <w:abstractNumId w:val="9"/>
  </w:num>
  <w:num w:numId="14">
    <w:abstractNumId w:val="26"/>
  </w:num>
  <w:num w:numId="15">
    <w:abstractNumId w:val="19"/>
  </w:num>
  <w:num w:numId="16">
    <w:abstractNumId w:val="16"/>
  </w:num>
  <w:num w:numId="17">
    <w:abstractNumId w:val="11"/>
  </w:num>
  <w:num w:numId="18">
    <w:abstractNumId w:val="3"/>
  </w:num>
  <w:num w:numId="19">
    <w:abstractNumId w:val="6"/>
  </w:num>
  <w:num w:numId="20">
    <w:abstractNumId w:val="10"/>
  </w:num>
  <w:num w:numId="21">
    <w:abstractNumId w:val="27"/>
  </w:num>
  <w:num w:numId="22">
    <w:abstractNumId w:val="13"/>
  </w:num>
  <w:num w:numId="23">
    <w:abstractNumId w:val="15"/>
  </w:num>
  <w:num w:numId="24">
    <w:abstractNumId w:val="21"/>
  </w:num>
  <w:num w:numId="25">
    <w:abstractNumId w:val="22"/>
  </w:num>
  <w:num w:numId="26">
    <w:abstractNumId w:val="7"/>
  </w:num>
  <w:num w:numId="27">
    <w:abstractNumId w:val="5"/>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grammar="clean"/>
  <w:defaultTabStop w:val="567"/>
  <w:hyphenationZone w:val="425"/>
  <w:drawingGridHorizontalSpacing w:val="110"/>
  <w:displayHorizontalDrawingGridEvery w:val="2"/>
  <w:characterSpacingControl w:val="doNotCompress"/>
  <w:compat/>
  <w:rsids>
    <w:rsidRoot w:val="0015354B"/>
    <w:rsid w:val="0005442F"/>
    <w:rsid w:val="00057002"/>
    <w:rsid w:val="00060A3F"/>
    <w:rsid w:val="00093300"/>
    <w:rsid w:val="000B5A06"/>
    <w:rsid w:val="000F02CA"/>
    <w:rsid w:val="001107BD"/>
    <w:rsid w:val="0011187F"/>
    <w:rsid w:val="0011205A"/>
    <w:rsid w:val="00112F9C"/>
    <w:rsid w:val="00114394"/>
    <w:rsid w:val="00125A4E"/>
    <w:rsid w:val="00134AB8"/>
    <w:rsid w:val="001361DB"/>
    <w:rsid w:val="001428E3"/>
    <w:rsid w:val="00143233"/>
    <w:rsid w:val="00146D89"/>
    <w:rsid w:val="0015354B"/>
    <w:rsid w:val="00170711"/>
    <w:rsid w:val="00170AF4"/>
    <w:rsid w:val="00185190"/>
    <w:rsid w:val="00192ED9"/>
    <w:rsid w:val="00197EBF"/>
    <w:rsid w:val="001A1CCF"/>
    <w:rsid w:val="001B27FD"/>
    <w:rsid w:val="001C0D60"/>
    <w:rsid w:val="001C1F9C"/>
    <w:rsid w:val="001E115C"/>
    <w:rsid w:val="001F5EE4"/>
    <w:rsid w:val="00203C48"/>
    <w:rsid w:val="00217234"/>
    <w:rsid w:val="00221517"/>
    <w:rsid w:val="002271FF"/>
    <w:rsid w:val="00232C7C"/>
    <w:rsid w:val="002469CA"/>
    <w:rsid w:val="002A4E2D"/>
    <w:rsid w:val="002A71A5"/>
    <w:rsid w:val="002E7F7B"/>
    <w:rsid w:val="002F23D1"/>
    <w:rsid w:val="00314023"/>
    <w:rsid w:val="00337AA8"/>
    <w:rsid w:val="0034061F"/>
    <w:rsid w:val="0034228E"/>
    <w:rsid w:val="0036554B"/>
    <w:rsid w:val="003709D9"/>
    <w:rsid w:val="00371C42"/>
    <w:rsid w:val="0038145A"/>
    <w:rsid w:val="003A49BB"/>
    <w:rsid w:val="003A697A"/>
    <w:rsid w:val="003B1058"/>
    <w:rsid w:val="003B72FE"/>
    <w:rsid w:val="003C526D"/>
    <w:rsid w:val="003F11CA"/>
    <w:rsid w:val="003F6BC2"/>
    <w:rsid w:val="004001EF"/>
    <w:rsid w:val="00415AB4"/>
    <w:rsid w:val="0044276E"/>
    <w:rsid w:val="00452CF0"/>
    <w:rsid w:val="00457C09"/>
    <w:rsid w:val="00477BC1"/>
    <w:rsid w:val="004827BE"/>
    <w:rsid w:val="005029AB"/>
    <w:rsid w:val="00504C96"/>
    <w:rsid w:val="00541F1E"/>
    <w:rsid w:val="005524B5"/>
    <w:rsid w:val="005A21D8"/>
    <w:rsid w:val="005C30BD"/>
    <w:rsid w:val="005D55E4"/>
    <w:rsid w:val="005E131E"/>
    <w:rsid w:val="005F0E5A"/>
    <w:rsid w:val="00616943"/>
    <w:rsid w:val="00622A75"/>
    <w:rsid w:val="0065463B"/>
    <w:rsid w:val="00662155"/>
    <w:rsid w:val="006628B9"/>
    <w:rsid w:val="00673663"/>
    <w:rsid w:val="00680BB2"/>
    <w:rsid w:val="006A4583"/>
    <w:rsid w:val="006A461D"/>
    <w:rsid w:val="006C3A52"/>
    <w:rsid w:val="006C4426"/>
    <w:rsid w:val="006E5E6C"/>
    <w:rsid w:val="006F3175"/>
    <w:rsid w:val="00714C78"/>
    <w:rsid w:val="0071684A"/>
    <w:rsid w:val="0071760B"/>
    <w:rsid w:val="00735136"/>
    <w:rsid w:val="00735F10"/>
    <w:rsid w:val="007364F4"/>
    <w:rsid w:val="0074011C"/>
    <w:rsid w:val="00740740"/>
    <w:rsid w:val="007529A9"/>
    <w:rsid w:val="0075596E"/>
    <w:rsid w:val="007801E0"/>
    <w:rsid w:val="007863E9"/>
    <w:rsid w:val="00796FFC"/>
    <w:rsid w:val="007A3A18"/>
    <w:rsid w:val="007A4036"/>
    <w:rsid w:val="007B2711"/>
    <w:rsid w:val="007C456F"/>
    <w:rsid w:val="007C498B"/>
    <w:rsid w:val="007C50D1"/>
    <w:rsid w:val="007E6F2A"/>
    <w:rsid w:val="007F5F9A"/>
    <w:rsid w:val="008053FA"/>
    <w:rsid w:val="00810D1B"/>
    <w:rsid w:val="00813A88"/>
    <w:rsid w:val="00827A26"/>
    <w:rsid w:val="00846220"/>
    <w:rsid w:val="008610BB"/>
    <w:rsid w:val="00874843"/>
    <w:rsid w:val="00875430"/>
    <w:rsid w:val="008755B8"/>
    <w:rsid w:val="00876749"/>
    <w:rsid w:val="00887E7D"/>
    <w:rsid w:val="008E52AC"/>
    <w:rsid w:val="009060E3"/>
    <w:rsid w:val="00934859"/>
    <w:rsid w:val="009435F3"/>
    <w:rsid w:val="009669B2"/>
    <w:rsid w:val="00971418"/>
    <w:rsid w:val="00974379"/>
    <w:rsid w:val="00991191"/>
    <w:rsid w:val="009C4B2F"/>
    <w:rsid w:val="009D7ABC"/>
    <w:rsid w:val="009E70D8"/>
    <w:rsid w:val="00A658B5"/>
    <w:rsid w:val="00A81F6B"/>
    <w:rsid w:val="00AB0C46"/>
    <w:rsid w:val="00B1167D"/>
    <w:rsid w:val="00B117CC"/>
    <w:rsid w:val="00B13C84"/>
    <w:rsid w:val="00B213B6"/>
    <w:rsid w:val="00B30269"/>
    <w:rsid w:val="00B30FFA"/>
    <w:rsid w:val="00B42C5D"/>
    <w:rsid w:val="00B550FB"/>
    <w:rsid w:val="00BA2F92"/>
    <w:rsid w:val="00BA563B"/>
    <w:rsid w:val="00BC12A5"/>
    <w:rsid w:val="00BD79EE"/>
    <w:rsid w:val="00C05CC7"/>
    <w:rsid w:val="00C064C9"/>
    <w:rsid w:val="00C1281B"/>
    <w:rsid w:val="00C14499"/>
    <w:rsid w:val="00C2469C"/>
    <w:rsid w:val="00C329E2"/>
    <w:rsid w:val="00CA17A1"/>
    <w:rsid w:val="00CB5B05"/>
    <w:rsid w:val="00CE45C0"/>
    <w:rsid w:val="00D242C4"/>
    <w:rsid w:val="00D334B6"/>
    <w:rsid w:val="00D673B6"/>
    <w:rsid w:val="00D702AD"/>
    <w:rsid w:val="00D765DA"/>
    <w:rsid w:val="00D9484E"/>
    <w:rsid w:val="00DB4886"/>
    <w:rsid w:val="00DC7B5F"/>
    <w:rsid w:val="00DD77D6"/>
    <w:rsid w:val="00DE5126"/>
    <w:rsid w:val="00DE558E"/>
    <w:rsid w:val="00DE574C"/>
    <w:rsid w:val="00DE75D3"/>
    <w:rsid w:val="00DF629A"/>
    <w:rsid w:val="00E04D78"/>
    <w:rsid w:val="00E25F20"/>
    <w:rsid w:val="00E50FD3"/>
    <w:rsid w:val="00E85EB1"/>
    <w:rsid w:val="00E90230"/>
    <w:rsid w:val="00E9447A"/>
    <w:rsid w:val="00EA373F"/>
    <w:rsid w:val="00EA74C5"/>
    <w:rsid w:val="00EB4F25"/>
    <w:rsid w:val="00ED5ED7"/>
    <w:rsid w:val="00EE1E6D"/>
    <w:rsid w:val="00EF6038"/>
    <w:rsid w:val="00F24771"/>
    <w:rsid w:val="00F4767D"/>
    <w:rsid w:val="00F52B90"/>
    <w:rsid w:val="00F55115"/>
    <w:rsid w:val="00F836D5"/>
    <w:rsid w:val="00F94277"/>
    <w:rsid w:val="00F95468"/>
    <w:rsid w:val="00F95D89"/>
    <w:rsid w:val="00FB3488"/>
    <w:rsid w:val="00FB673F"/>
    <w:rsid w:val="00FB6AEB"/>
    <w:rsid w:val="00FB78EB"/>
    <w:rsid w:val="00FC7B3B"/>
    <w:rsid w:val="00FE10AB"/>
    <w:rsid w:val="00FE244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C84"/>
  </w:style>
  <w:style w:type="paragraph" w:styleId="Titre1">
    <w:name w:val="heading 1"/>
    <w:basedOn w:val="Normal"/>
    <w:next w:val="Normal"/>
    <w:link w:val="Titre1Car"/>
    <w:uiPriority w:val="9"/>
    <w:qFormat/>
    <w:rsid w:val="00221517"/>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E115C"/>
    <w:pPr>
      <w:keepNext/>
      <w:keepLines/>
      <w:numPr>
        <w:ilvl w:val="1"/>
        <w:numId w:val="1"/>
      </w:numPr>
      <w:spacing w:before="200" w:after="0"/>
      <w:ind w:left="993"/>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221517"/>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2151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2151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22151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22151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22151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22151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535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354B"/>
    <w:rPr>
      <w:rFonts w:ascii="Tahoma" w:hAnsi="Tahoma" w:cs="Tahoma"/>
      <w:sz w:val="16"/>
      <w:szCs w:val="16"/>
    </w:rPr>
  </w:style>
  <w:style w:type="character" w:customStyle="1" w:styleId="Titre1Car">
    <w:name w:val="Titre 1 Car"/>
    <w:basedOn w:val="Policepardfaut"/>
    <w:link w:val="Titre1"/>
    <w:uiPriority w:val="9"/>
    <w:rsid w:val="00221517"/>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2215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21517"/>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2215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221517"/>
    <w:rPr>
      <w:rFonts w:asciiTheme="majorHAnsi" w:eastAsiaTheme="majorEastAsia" w:hAnsiTheme="majorHAnsi" w:cstheme="majorBidi"/>
      <w:i/>
      <w:iCs/>
      <w:color w:val="4F81BD" w:themeColor="accent1"/>
      <w:spacing w:val="15"/>
      <w:sz w:val="24"/>
      <w:szCs w:val="24"/>
    </w:rPr>
  </w:style>
  <w:style w:type="character" w:customStyle="1" w:styleId="Titre2Car">
    <w:name w:val="Titre 2 Car"/>
    <w:basedOn w:val="Policepardfaut"/>
    <w:link w:val="Titre2"/>
    <w:uiPriority w:val="9"/>
    <w:rsid w:val="001E115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22151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22151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221517"/>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221517"/>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22151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22151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221517"/>
    <w:rPr>
      <w:rFonts w:asciiTheme="majorHAnsi" w:eastAsiaTheme="majorEastAsia" w:hAnsiTheme="majorHAnsi" w:cstheme="majorBidi"/>
      <w:i/>
      <w:iCs/>
      <w:color w:val="404040" w:themeColor="text1" w:themeTint="BF"/>
      <w:sz w:val="20"/>
      <w:szCs w:val="20"/>
    </w:rPr>
  </w:style>
  <w:style w:type="numbering" w:customStyle="1" w:styleId="Question">
    <w:name w:val="Question"/>
    <w:uiPriority w:val="99"/>
    <w:rsid w:val="00CA17A1"/>
    <w:pPr>
      <w:numPr>
        <w:numId w:val="2"/>
      </w:numPr>
    </w:pPr>
  </w:style>
  <w:style w:type="paragraph" w:styleId="Paragraphedeliste">
    <w:name w:val="List Paragraph"/>
    <w:basedOn w:val="Normal"/>
    <w:uiPriority w:val="34"/>
    <w:qFormat/>
    <w:rsid w:val="00CA17A1"/>
    <w:pPr>
      <w:ind w:left="720"/>
      <w:contextualSpacing/>
    </w:pPr>
  </w:style>
  <w:style w:type="table" w:styleId="Grilledutableau">
    <w:name w:val="Table Grid"/>
    <w:basedOn w:val="TableauNormal"/>
    <w:uiPriority w:val="59"/>
    <w:rsid w:val="003A49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HTML">
    <w:name w:val="HTML Preformatted"/>
    <w:basedOn w:val="Normal"/>
    <w:link w:val="PrformatHTMLCar"/>
    <w:uiPriority w:val="99"/>
    <w:semiHidden/>
    <w:unhideWhenUsed/>
    <w:rsid w:val="00F83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F836D5"/>
    <w:rPr>
      <w:rFonts w:ascii="Courier New" w:eastAsia="Times New Roman" w:hAnsi="Courier New" w:cs="Courier New"/>
      <w:sz w:val="20"/>
      <w:szCs w:val="20"/>
      <w:lang w:eastAsia="fr-FR"/>
    </w:rPr>
  </w:style>
  <w:style w:type="paragraph" w:styleId="Sansinterligne">
    <w:name w:val="No Spacing"/>
    <w:uiPriority w:val="1"/>
    <w:qFormat/>
    <w:rsid w:val="00B1167D"/>
    <w:pPr>
      <w:spacing w:after="0" w:line="240" w:lineRule="auto"/>
    </w:pPr>
  </w:style>
  <w:style w:type="paragraph" w:customStyle="1" w:styleId="Default">
    <w:name w:val="Default"/>
    <w:rsid w:val="0044276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1350085">
      <w:bodyDiv w:val="1"/>
      <w:marLeft w:val="0"/>
      <w:marRight w:val="0"/>
      <w:marTop w:val="0"/>
      <w:marBottom w:val="0"/>
      <w:divBdr>
        <w:top w:val="none" w:sz="0" w:space="0" w:color="auto"/>
        <w:left w:val="none" w:sz="0" w:space="0" w:color="auto"/>
        <w:bottom w:val="none" w:sz="0" w:space="0" w:color="auto"/>
        <w:right w:val="none" w:sz="0" w:space="0" w:color="auto"/>
      </w:divBdr>
    </w:div>
    <w:div w:id="1516572933">
      <w:bodyDiv w:val="1"/>
      <w:marLeft w:val="0"/>
      <w:marRight w:val="0"/>
      <w:marTop w:val="0"/>
      <w:marBottom w:val="0"/>
      <w:divBdr>
        <w:top w:val="none" w:sz="0" w:space="0" w:color="auto"/>
        <w:left w:val="none" w:sz="0" w:space="0" w:color="auto"/>
        <w:bottom w:val="none" w:sz="0" w:space="0" w:color="auto"/>
        <w:right w:val="none" w:sz="0" w:space="0" w:color="auto"/>
      </w:divBdr>
    </w:div>
    <w:div w:id="157038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977</TotalTime>
  <Pages>8</Pages>
  <Words>1587</Words>
  <Characters>8733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Marco</cp:lastModifiedBy>
  <cp:revision>10</cp:revision>
  <cp:lastPrinted>2015-01-11T17:50:00Z</cp:lastPrinted>
  <dcterms:created xsi:type="dcterms:W3CDTF">2015-01-10T18:58:00Z</dcterms:created>
  <dcterms:modified xsi:type="dcterms:W3CDTF">2015-01-11T17:57:00Z</dcterms:modified>
</cp:coreProperties>
</file>